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4C06C" w14:textId="64D29B35" w:rsidR="005B6E23" w:rsidRPr="00F00EEE" w:rsidRDefault="00500CF0" w:rsidP="005B6E23">
      <w:pPr>
        <w:rPr>
          <w:lang w:val="fr-FR"/>
        </w:rPr>
      </w:pPr>
      <w:r w:rsidRPr="00F00EEE">
        <w:rPr>
          <w:noProof/>
          <w:lang w:val="de-DE" w:eastAsia="ja-JP"/>
        </w:rPr>
        <mc:AlternateContent>
          <mc:Choice Requires="wps">
            <w:drawing>
              <wp:anchor distT="0" distB="0" distL="114300" distR="114300" simplePos="0" relativeHeight="251707392" behindDoc="0" locked="0" layoutInCell="1" allowOverlap="1" wp14:anchorId="0BA35185" wp14:editId="43A3F70F">
                <wp:simplePos x="0" y="0"/>
                <wp:positionH relativeFrom="column">
                  <wp:posOffset>-628650</wp:posOffset>
                </wp:positionH>
                <wp:positionV relativeFrom="paragraph">
                  <wp:posOffset>-647700</wp:posOffset>
                </wp:positionV>
                <wp:extent cx="5095875" cy="762635"/>
                <wp:effectExtent l="0" t="0" r="952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762635"/>
                        </a:xfrm>
                        <a:prstGeom prst="rect">
                          <a:avLst/>
                        </a:prstGeom>
                        <a:solidFill>
                          <a:srgbClr val="CCE1DA"/>
                        </a:solidFill>
                        <a:ln>
                          <a:noFill/>
                        </a:ln>
                        <a:extLst>
                          <a:ext uri="{91240B29-F687-4F45-9708-019B960494DF}">
                            <a14:hiddenLine xmlns:a14="http://schemas.microsoft.com/office/drawing/2010/main" w="12700">
                              <a:solidFill>
                                <a:srgbClr val="006747"/>
                              </a:solidFill>
                              <a:miter lim="800000"/>
                              <a:headEnd/>
                              <a:tailEnd/>
                            </a14:hiddenLine>
                          </a:ext>
                        </a:extLst>
                      </wps:spPr>
                      <wps:txb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9E795F">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9E795F">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A35185" id="_x0000_t202" coordsize="21600,21600" o:spt="202" path="m,l,21600r21600,l21600,xe">
                <v:stroke joinstyle="miter"/>
                <v:path gradientshapeok="t" o:connecttype="rect"/>
              </v:shapetype>
              <v:shape id="Text Box 2" o:spid="_x0000_s1026" type="#_x0000_t202" style="position:absolute;left:0;text-align:left;margin-left:-49.5pt;margin-top:-51pt;width:401.25pt;height:60.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" fillcolor="#cce1da" stroked="f" strokecolor="#006747" strokeweight="1pt">
                <v:textbox>
                  <w:txbxContent>
                    <w:p w14:paraId="1880EFCC" w14:textId="77777777" w:rsidR="004016EA" w:rsidRPr="005D5A1B" w:rsidRDefault="004016EA" w:rsidP="00500CF0">
                      <w:pPr>
                        <w:spacing w:line="200" w:lineRule="exact"/>
                        <w:rPr>
                          <w:b/>
                          <w:caps/>
                          <w:color w:val="006747"/>
                          <w:sz w:val="18"/>
                          <w:szCs w:val="18"/>
                          <w:lang w:val="fr-FR"/>
                        </w:rPr>
                      </w:pPr>
                      <w:r w:rsidRPr="005D5A1B">
                        <w:rPr>
                          <w:b/>
                          <w:caps/>
                          <w:color w:val="006747"/>
                          <w:sz w:val="18"/>
                          <w:szCs w:val="18"/>
                          <w:lang w:val="fr-FR"/>
                        </w:rPr>
                        <w:t>INFORMATIONS CLES POUR L’INVESTISSEUR</w:t>
                      </w:r>
                    </w:p>
                    <w:p w14:paraId="257C2879" w14:textId="0F5BBCB9" w:rsidR="004016EA" w:rsidRPr="00E759CC" w:rsidRDefault="004016EA" w:rsidP="00500CF0">
                      <w:pPr>
                        <w:spacing w:line="200" w:lineRule="exact"/>
                        <w:rPr>
                          <w:color w:val="006747"/>
                          <w:sz w:val="18"/>
                          <w:szCs w:val="18"/>
                          <w:lang w:val="fr-FR"/>
                        </w:rPr>
                      </w:pPr>
                      <w:r w:rsidRPr="005D5A1B">
                        <w:rPr>
                          <w:color w:val="006747"/>
                          <w:sz w:val="18"/>
                          <w:szCs w:val="18"/>
                          <w:lang w:val="fr-FR"/>
                        </w:rPr>
                        <w:t xml:space="preserve">Le présent document fournit aux investisseurs des informations essentielles concernant ce </w:t>
                      </w:r>
                      <w:r w:rsidR="009E795F">
                        <w:rPr>
                          <w:color w:val="006747"/>
                          <w:sz w:val="18"/>
                          <w:szCs w:val="18"/>
                          <w:lang w:val="fr-FR"/>
                        </w:rPr>
                        <w:t>Fonds</w:t>
                      </w:r>
                      <w:r w:rsidRPr="005D5A1B">
                        <w:rPr>
                          <w:color w:val="006747"/>
                          <w:sz w:val="18"/>
                          <w:szCs w:val="18"/>
                          <w:lang w:val="fr-FR"/>
                        </w:rPr>
                        <w:t xml:space="preserve">. Il ne s’agit pas d’un support marketing. La loi nous oblige à fournir ces informations pour vous aider à comprendre la nature et les risques de l’investissement dans ce </w:t>
                      </w:r>
                      <w:r w:rsidR="009E795F">
                        <w:rPr>
                          <w:color w:val="006747"/>
                          <w:sz w:val="18"/>
                          <w:szCs w:val="18"/>
                          <w:lang w:val="fr-FR"/>
                        </w:rPr>
                        <w:t>Fonds</w:t>
                      </w:r>
                      <w:r w:rsidRPr="005D5A1B">
                        <w:rPr>
                          <w:color w:val="006747"/>
                          <w:sz w:val="18"/>
                          <w:szCs w:val="18"/>
                          <w:lang w:val="fr-FR"/>
                        </w:rPr>
                        <w:t>. Nous vous conseillons de le lire pour prendre des décisions d’investissement éclairées.</w:t>
                      </w:r>
                    </w:p>
                    <w:p w14:paraId="272968C0" w14:textId="77777777" w:rsidR="004016EA" w:rsidRPr="00E759CC" w:rsidRDefault="004016EA" w:rsidP="00500CF0">
                      <w:pPr>
                        <w:spacing w:line="200" w:lineRule="exact"/>
                        <w:rPr>
                          <w:color w:val="006747"/>
                          <w:sz w:val="18"/>
                          <w:szCs w:val="18"/>
                          <w:lang w:val="fr-FR"/>
                        </w:rPr>
                      </w:pPr>
                    </w:p>
                  </w:txbxContent>
                </v:textbox>
              </v:shape>
            </w:pict>
          </mc:Fallback>
        </mc:AlternateContent>
      </w:r>
      <w:r w:rsidR="00E7589F" w:rsidRPr="00F00EEE">
        <w:rPr>
          <w:noProof/>
          <w:lang w:val="de-DE" w:eastAsia="ja-JP"/>
        </w:rPr>
        <w:drawing>
          <wp:anchor distT="0" distB="0" distL="114300" distR="114300" simplePos="0" relativeHeight="251703296" behindDoc="0" locked="0" layoutInCell="1" allowOverlap="1" wp14:anchorId="773F256F" wp14:editId="7E991FC9">
            <wp:simplePos x="0" y="0"/>
            <wp:positionH relativeFrom="column">
              <wp:posOffset>4615132</wp:posOffset>
            </wp:positionH>
            <wp:positionV relativeFrom="paragraph">
              <wp:posOffset>-526211</wp:posOffset>
            </wp:positionV>
            <wp:extent cx="1521726" cy="715268"/>
            <wp:effectExtent l="0" t="0" r="254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1726" cy="715268"/>
                    </a:xfrm>
                    <a:prstGeom prst="rect">
                      <a:avLst/>
                    </a:prstGeom>
                  </pic:spPr>
                </pic:pic>
              </a:graphicData>
            </a:graphic>
            <wp14:sizeRelH relativeFrom="page">
              <wp14:pctWidth>0</wp14:pctWidth>
            </wp14:sizeRelH>
            <wp14:sizeRelV relativeFrom="page">
              <wp14:pctHeight>0</wp14:pctHeight>
            </wp14:sizeRelV>
          </wp:anchor>
        </w:drawing>
      </w:r>
    </w:p>
    <w:p w14:paraId="5535904C" w14:textId="6933E199" w:rsidR="005B6E23" w:rsidRPr="00F00EEE" w:rsidRDefault="008A3787">
      <w:pPr>
        <w:rPr>
          <w:lang w:val="fr-FR"/>
        </w:rPr>
      </w:pPr>
      <w:r w:rsidRPr="00F00EEE">
        <w:rPr>
          <w:noProof/>
          <w:lang w:val="de-DE" w:eastAsia="ja-JP"/>
        </w:rPr>
        <mc:AlternateContent>
          <mc:Choice Requires="wps">
            <w:drawing>
              <wp:anchor distT="0" distB="0" distL="114300" distR="114300" simplePos="0" relativeHeight="251662336" behindDoc="0" locked="0" layoutInCell="1" allowOverlap="1" wp14:anchorId="42E03D93" wp14:editId="77212EC0">
                <wp:simplePos x="0" y="0"/>
                <wp:positionH relativeFrom="page">
                  <wp:posOffset>171450</wp:posOffset>
                </wp:positionH>
                <wp:positionV relativeFrom="paragraph">
                  <wp:posOffset>171450</wp:posOffset>
                </wp:positionV>
                <wp:extent cx="7134225" cy="1352550"/>
                <wp:effectExtent l="0" t="0" r="9525" b="0"/>
                <wp:wrapNone/>
                <wp:docPr id="2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52550"/>
                        </a:xfrm>
                        <a:prstGeom prst="rect">
                          <a:avLst/>
                        </a:prstGeom>
                        <a:solidFill>
                          <a:srgbClr val="00674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18D0BC45" w:rsidR="004016EA" w:rsidRPr="004173DF" w:rsidRDefault="004016EA" w:rsidP="00F74342">
                                  <w:pPr>
                                    <w:spacing w:after="80" w:line="300" w:lineRule="exact"/>
                                    <w:ind w:left="250"/>
                                    <w:jc w:val="left"/>
                                    <w:rPr>
                                      <w:rFonts w:cs="Arial"/>
                                      <w:color w:val="FFFFFF"/>
                                    </w:rPr>
                                  </w:pPr>
                                  <w:r w:rsidRPr="004173DF">
                                    <w:rPr>
                                      <w:rFonts w:cs="Arial"/>
                                      <w:color w:val="FFFFFF"/>
                                      <w:lang w:val="fr-FR"/>
                                    </w:rPr>
                                    <w:t>Actions de Catégorie</w:t>
                                  </w:r>
                                  <w:r w:rsidR="00F74342">
                                    <w:rPr>
                                      <w:rFonts w:cs="Arial"/>
                                      <w:color w:val="FFFFFF"/>
                                    </w:rPr>
                                    <w:t xml:space="preserve"> E2</w:t>
                                  </w:r>
                                  <w:r w:rsidRPr="004173DF">
                                    <w:rPr>
                                      <w:rFonts w:cs="Arial"/>
                                      <w:color w:val="FFFFFF"/>
                                    </w:rPr>
                                    <w:t xml:space="preserve"> </w:t>
                                  </w:r>
                                  <w:r w:rsidR="00EF23F3" w:rsidRPr="004173DF">
                                    <w:rPr>
                                      <w:rFonts w:cs="Arial"/>
                                      <w:color w:val="FFFFFF"/>
                                    </w:rPr>
                                    <w:t>Acc</w:t>
                                  </w:r>
                                  <w:r w:rsidRPr="004173DF">
                                    <w:rPr>
                                      <w:rFonts w:cs="Arial"/>
                                      <w:color w:val="FFFFFF"/>
                                    </w:rPr>
                                    <w:t xml:space="preserve"> GBP (ISIN:</w:t>
                                  </w:r>
                                  <w:r w:rsidR="00F74342" w:rsidRPr="00F74342">
                                    <w:rPr>
                                      <w:rFonts w:cs="Arial"/>
                                      <w:color w:val="FFFFFF"/>
                                    </w:rPr>
                                    <w:t>IE00B51ZKG48</w:t>
                                  </w:r>
                                  <w:r w:rsidRPr="004173DF">
                                    <w:rPr>
                                      <w:rFonts w:cs="Arial"/>
                                      <w:color w:val="FFFFFF"/>
                                    </w:rPr>
                                    <w:t>)</w:t>
                                  </w:r>
                                </w:p>
                              </w:tc>
                              <w:tc>
                                <w:tcPr>
                                  <w:tcW w:w="5452" w:type="dxa"/>
                                  <w:gridSpan w:val="3"/>
                                </w:tcPr>
                                <w:p w14:paraId="0D06B7D6" w14:textId="60EF7676" w:rsidR="004016EA" w:rsidRPr="004173DF" w:rsidRDefault="004016EA" w:rsidP="004173DF">
                                  <w:pPr>
                                    <w:spacing w:after="80" w:line="300" w:lineRule="exact"/>
                                    <w:ind w:left="-34"/>
                                    <w:jc w:val="left"/>
                                    <w:rPr>
                                      <w:rFonts w:cs="Arial"/>
                                      <w:color w:val="FFFFFF"/>
                                    </w:rPr>
                                  </w:pPr>
                                  <w:r w:rsidRPr="004173DF">
                                    <w:rPr>
                                      <w:rFonts w:cs="Arial"/>
                                      <w:color w:val="FFFFFF"/>
                                      <w:lang w:val="fr-FR"/>
                                    </w:rPr>
                                    <w:t>Actions de Catégorie</w:t>
                                  </w:r>
                                  <w:r w:rsidR="00F74342">
                                    <w:rPr>
                                      <w:rFonts w:cs="Arial"/>
                                      <w:color w:val="FFFFFF"/>
                                    </w:rPr>
                                    <w:t xml:space="preserve"> E2 Acc EUR</w:t>
                                  </w:r>
                                  <w:r w:rsidRPr="004173DF">
                                    <w:rPr>
                                      <w:rFonts w:cs="Arial"/>
                                      <w:color w:val="FFFFFF"/>
                                    </w:rPr>
                                    <w:t xml:space="preserve"> (ISIN:</w:t>
                                  </w:r>
                                  <w:r w:rsidR="00F74342" w:rsidRPr="00F74342">
                                    <w:rPr>
                                      <w:rFonts w:cs="Arial"/>
                                      <w:color w:val="FFFFFF"/>
                                    </w:rPr>
                                    <w:t>IE00B520G822</w:t>
                                  </w:r>
                                  <w:r w:rsidRPr="004173DF">
                                    <w:rPr>
                                      <w:rFonts w:cs="Arial"/>
                                      <w:color w:val="FFFFFF"/>
                                    </w:rPr>
                                    <w:t>1)</w:t>
                                  </w:r>
                                </w:p>
                              </w:tc>
                            </w:tr>
                            <w:tr w:rsidR="004016EA" w:rsidRPr="004173DF" w14:paraId="250F892C" w14:textId="77777777" w:rsidTr="004173DF">
                              <w:trPr>
                                <w:gridAfter w:val="1"/>
                                <w:wAfter w:w="411" w:type="dxa"/>
                                <w:trHeight w:val="345"/>
                                <w:jc w:val="center"/>
                              </w:trPr>
                              <w:tc>
                                <w:tcPr>
                                  <w:tcW w:w="6345" w:type="dxa"/>
                                  <w:gridSpan w:val="2"/>
                                </w:tcPr>
                                <w:p w14:paraId="7F65084C" w14:textId="19EAED0D" w:rsidR="004016EA" w:rsidRPr="004173DF" w:rsidRDefault="004016EA" w:rsidP="00F74342">
                                  <w:pPr>
                                    <w:spacing w:after="80" w:line="300" w:lineRule="exact"/>
                                    <w:ind w:left="250"/>
                                    <w:jc w:val="left"/>
                                    <w:rPr>
                                      <w:rFonts w:cs="Arial"/>
                                      <w:color w:val="FFFFFF"/>
                                    </w:rPr>
                                  </w:pPr>
                                  <w:r w:rsidRPr="004173DF">
                                    <w:rPr>
                                      <w:rFonts w:cs="Arial"/>
                                      <w:color w:val="FFFFFF"/>
                                      <w:lang w:val="fr-FR"/>
                                    </w:rPr>
                                    <w:t>Actions de Catégorie</w:t>
                                  </w:r>
                                  <w:r w:rsidR="00F74342">
                                    <w:rPr>
                                      <w:rFonts w:cs="Arial"/>
                                      <w:color w:val="FFFFFF"/>
                                    </w:rPr>
                                    <w:t xml:space="preserve"> E2 Acc USD</w:t>
                                  </w:r>
                                  <w:r w:rsidRPr="004173DF">
                                    <w:rPr>
                                      <w:rFonts w:cs="Arial"/>
                                      <w:color w:val="FFFFFF"/>
                                    </w:rPr>
                                    <w:t xml:space="preserve"> (ISIN:</w:t>
                                  </w:r>
                                  <w:r w:rsidR="00F74342" w:rsidRPr="00F74342">
                                    <w:rPr>
                                      <w:rFonts w:cs="Arial"/>
                                      <w:color w:val="FFFFFF"/>
                                    </w:rPr>
                                    <w:t>IE00B51ZK080</w:t>
                                  </w:r>
                                  <w:r w:rsidRPr="004173DF">
                                    <w:rPr>
                                      <w:rFonts w:cs="Arial"/>
                                      <w:color w:val="FFFFFF"/>
                                    </w:rPr>
                                    <w:t>)</w:t>
                                  </w: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wps:txbx>
                      <wps:bodyPr rot="0" vert="horz" wrap="square" lIns="126000" tIns="118800" rIns="126000" bIns="118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03D93" id="_x0000_t202" coordsize="21600,21600" o:spt="202" path="m,l,21600r21600,l21600,xe">
                <v:stroke joinstyle="miter"/>
                <v:path gradientshapeok="t" o:connecttype="rect"/>
              </v:shapetype>
              <v:shape id="Text Box 96" o:spid="_x0000_s1027" type="#_x0000_t202" style="position:absolute;left:0;text-align:left;margin-left:13.5pt;margin-top:13.5pt;width:561.75pt;height:10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" fillcolor="#006747" stroked="f">
                <v:textbox inset="3.5mm,3.3mm,3.5mm,3.3mm">
                  <w:txbxContent>
                    <w:p w14:paraId="6F176501" w14:textId="4BC777E3" w:rsidR="004016EA" w:rsidRPr="00CD389F" w:rsidRDefault="004016EA" w:rsidP="00500CF0">
                      <w:pPr>
                        <w:autoSpaceDE w:val="0"/>
                        <w:autoSpaceDN w:val="0"/>
                        <w:adjustRightInd w:val="0"/>
                        <w:spacing w:after="60" w:line="228" w:lineRule="auto"/>
                        <w:jc w:val="left"/>
                        <w:rPr>
                          <w:rFonts w:cs="Arial"/>
                          <w:b/>
                          <w:bCs/>
                          <w:color w:val="FFFFFF"/>
                          <w:sz w:val="30"/>
                          <w:szCs w:val="30"/>
                          <w:lang w:val="en-US"/>
                        </w:rPr>
                      </w:pPr>
                      <w:r>
                        <w:rPr>
                          <w:rFonts w:cs="Arial"/>
                          <w:b/>
                          <w:bCs/>
                          <w:color w:val="FFFFFF"/>
                          <w:sz w:val="30"/>
                          <w:szCs w:val="30"/>
                          <w:lang w:val="en-US"/>
                        </w:rPr>
                        <w:t>Salar Fund (Le Fonds</w:t>
                      </w:r>
                      <w:r w:rsidRPr="00CD389F">
                        <w:rPr>
                          <w:rFonts w:cs="Arial"/>
                          <w:b/>
                          <w:bCs/>
                          <w:color w:val="FFFFFF"/>
                          <w:sz w:val="30"/>
                          <w:szCs w:val="30"/>
                          <w:lang w:val="en-US"/>
                        </w:rPr>
                        <w:t xml:space="preserve">) </w:t>
                      </w:r>
                      <w:r w:rsidRPr="00E759CC">
                        <w:rPr>
                          <w:rFonts w:cs="Arial"/>
                          <w:b/>
                          <w:bCs/>
                          <w:color w:val="FFFFFF"/>
                          <w:sz w:val="30"/>
                          <w:szCs w:val="30"/>
                          <w:lang w:val="fr-FR"/>
                        </w:rPr>
                        <w:t>un compartiment de CQS Funds (Ireland) plc (la Société). Le Gestionnaire est KBA Consulting Management Limited (le « Gestionnaire »)</w:t>
                      </w:r>
                    </w:p>
                    <w:tbl>
                      <w:tblPr>
                        <w:tblStyle w:val="TableGrid"/>
                        <w:tblW w:w="115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3"/>
                        <w:gridCol w:w="242"/>
                        <w:gridCol w:w="4799"/>
                        <w:gridCol w:w="411"/>
                      </w:tblGrid>
                      <w:tr w:rsidR="004016EA" w:rsidRPr="004173DF" w14:paraId="55C73248" w14:textId="77777777" w:rsidTr="004173DF">
                        <w:trPr>
                          <w:trHeight w:val="345"/>
                          <w:jc w:val="center"/>
                        </w:trPr>
                        <w:tc>
                          <w:tcPr>
                            <w:tcW w:w="6103" w:type="dxa"/>
                          </w:tcPr>
                          <w:p w14:paraId="2B664235" w14:textId="18D0BC45" w:rsidR="004016EA" w:rsidRPr="004173DF" w:rsidRDefault="004016EA" w:rsidP="00F74342">
                            <w:pPr>
                              <w:spacing w:after="80" w:line="300" w:lineRule="exact"/>
                              <w:ind w:left="250"/>
                              <w:jc w:val="left"/>
                              <w:rPr>
                                <w:rFonts w:cs="Arial"/>
                                <w:color w:val="FFFFFF"/>
                              </w:rPr>
                            </w:pPr>
                            <w:r w:rsidRPr="004173DF">
                              <w:rPr>
                                <w:rFonts w:cs="Arial"/>
                                <w:color w:val="FFFFFF"/>
                                <w:lang w:val="fr-FR"/>
                              </w:rPr>
                              <w:t>Actions de Catégorie</w:t>
                            </w:r>
                            <w:r w:rsidR="00F74342">
                              <w:rPr>
                                <w:rFonts w:cs="Arial"/>
                                <w:color w:val="FFFFFF"/>
                              </w:rPr>
                              <w:t xml:space="preserve"> E2</w:t>
                            </w:r>
                            <w:r w:rsidRPr="004173DF">
                              <w:rPr>
                                <w:rFonts w:cs="Arial"/>
                                <w:color w:val="FFFFFF"/>
                              </w:rPr>
                              <w:t xml:space="preserve"> </w:t>
                            </w:r>
                            <w:r w:rsidR="00EF23F3" w:rsidRPr="004173DF">
                              <w:rPr>
                                <w:rFonts w:cs="Arial"/>
                                <w:color w:val="FFFFFF"/>
                              </w:rPr>
                              <w:t>Acc</w:t>
                            </w:r>
                            <w:r w:rsidRPr="004173DF">
                              <w:rPr>
                                <w:rFonts w:cs="Arial"/>
                                <w:color w:val="FFFFFF"/>
                              </w:rPr>
                              <w:t xml:space="preserve"> GBP (ISIN:</w:t>
                            </w:r>
                            <w:r w:rsidR="00F74342" w:rsidRPr="00F74342">
                              <w:rPr>
                                <w:rFonts w:cs="Arial"/>
                                <w:color w:val="FFFFFF"/>
                              </w:rPr>
                              <w:t>IE00B51ZKG48</w:t>
                            </w:r>
                            <w:r w:rsidRPr="004173DF">
                              <w:rPr>
                                <w:rFonts w:cs="Arial"/>
                                <w:color w:val="FFFFFF"/>
                              </w:rPr>
                              <w:t>)</w:t>
                            </w:r>
                          </w:p>
                        </w:tc>
                        <w:tc>
                          <w:tcPr>
                            <w:tcW w:w="5452" w:type="dxa"/>
                            <w:gridSpan w:val="3"/>
                          </w:tcPr>
                          <w:p w14:paraId="0D06B7D6" w14:textId="60EF7676" w:rsidR="004016EA" w:rsidRPr="004173DF" w:rsidRDefault="004016EA" w:rsidP="004173DF">
                            <w:pPr>
                              <w:spacing w:after="80" w:line="300" w:lineRule="exact"/>
                              <w:ind w:left="-34"/>
                              <w:jc w:val="left"/>
                              <w:rPr>
                                <w:rFonts w:cs="Arial"/>
                                <w:color w:val="FFFFFF"/>
                              </w:rPr>
                            </w:pPr>
                            <w:r w:rsidRPr="004173DF">
                              <w:rPr>
                                <w:rFonts w:cs="Arial"/>
                                <w:color w:val="FFFFFF"/>
                                <w:lang w:val="fr-FR"/>
                              </w:rPr>
                              <w:t>Actions de Catégorie</w:t>
                            </w:r>
                            <w:r w:rsidR="00F74342">
                              <w:rPr>
                                <w:rFonts w:cs="Arial"/>
                                <w:color w:val="FFFFFF"/>
                              </w:rPr>
                              <w:t xml:space="preserve"> E2 Acc EUR</w:t>
                            </w:r>
                            <w:r w:rsidRPr="004173DF">
                              <w:rPr>
                                <w:rFonts w:cs="Arial"/>
                                <w:color w:val="FFFFFF"/>
                              </w:rPr>
                              <w:t xml:space="preserve"> (ISIN:</w:t>
                            </w:r>
                            <w:r w:rsidR="00F74342" w:rsidRPr="00F74342">
                              <w:rPr>
                                <w:rFonts w:cs="Arial"/>
                                <w:color w:val="FFFFFF"/>
                              </w:rPr>
                              <w:t>IE00B520G822</w:t>
                            </w:r>
                            <w:r w:rsidRPr="004173DF">
                              <w:rPr>
                                <w:rFonts w:cs="Arial"/>
                                <w:color w:val="FFFFFF"/>
                              </w:rPr>
                              <w:t>1)</w:t>
                            </w:r>
                          </w:p>
                        </w:tc>
                      </w:tr>
                      <w:tr w:rsidR="004016EA" w:rsidRPr="004173DF" w14:paraId="250F892C" w14:textId="77777777" w:rsidTr="004173DF">
                        <w:trPr>
                          <w:gridAfter w:val="1"/>
                          <w:wAfter w:w="411" w:type="dxa"/>
                          <w:trHeight w:val="345"/>
                          <w:jc w:val="center"/>
                        </w:trPr>
                        <w:tc>
                          <w:tcPr>
                            <w:tcW w:w="6345" w:type="dxa"/>
                            <w:gridSpan w:val="2"/>
                          </w:tcPr>
                          <w:p w14:paraId="7F65084C" w14:textId="19EAED0D" w:rsidR="004016EA" w:rsidRPr="004173DF" w:rsidRDefault="004016EA" w:rsidP="00F74342">
                            <w:pPr>
                              <w:spacing w:after="80" w:line="300" w:lineRule="exact"/>
                              <w:ind w:left="250"/>
                              <w:jc w:val="left"/>
                              <w:rPr>
                                <w:rFonts w:cs="Arial"/>
                                <w:color w:val="FFFFFF"/>
                              </w:rPr>
                            </w:pPr>
                            <w:r w:rsidRPr="004173DF">
                              <w:rPr>
                                <w:rFonts w:cs="Arial"/>
                                <w:color w:val="FFFFFF"/>
                                <w:lang w:val="fr-FR"/>
                              </w:rPr>
                              <w:t>Actions de Catégorie</w:t>
                            </w:r>
                            <w:r w:rsidR="00F74342">
                              <w:rPr>
                                <w:rFonts w:cs="Arial"/>
                                <w:color w:val="FFFFFF"/>
                              </w:rPr>
                              <w:t xml:space="preserve"> E2 Acc USD</w:t>
                            </w:r>
                            <w:r w:rsidRPr="004173DF">
                              <w:rPr>
                                <w:rFonts w:cs="Arial"/>
                                <w:color w:val="FFFFFF"/>
                              </w:rPr>
                              <w:t xml:space="preserve"> (ISIN:</w:t>
                            </w:r>
                            <w:r w:rsidR="00F74342" w:rsidRPr="00F74342">
                              <w:rPr>
                                <w:rFonts w:cs="Arial"/>
                                <w:color w:val="FFFFFF"/>
                              </w:rPr>
                              <w:t>IE00B51ZK080</w:t>
                            </w:r>
                            <w:r w:rsidRPr="004173DF">
                              <w:rPr>
                                <w:rFonts w:cs="Arial"/>
                                <w:color w:val="FFFFFF"/>
                              </w:rPr>
                              <w:t>)</w:t>
                            </w:r>
                          </w:p>
                        </w:tc>
                        <w:tc>
                          <w:tcPr>
                            <w:tcW w:w="4799" w:type="dxa"/>
                          </w:tcPr>
                          <w:p w14:paraId="61FC3F26" w14:textId="77777777" w:rsidR="004016EA" w:rsidRPr="004173DF" w:rsidRDefault="004016EA" w:rsidP="004173DF">
                            <w:pPr>
                              <w:spacing w:after="80" w:line="300" w:lineRule="exact"/>
                              <w:ind w:left="751"/>
                              <w:jc w:val="center"/>
                              <w:rPr>
                                <w:rFonts w:cs="Arial"/>
                                <w:color w:val="FFFFFF"/>
                                <w:sz w:val="21"/>
                                <w:szCs w:val="21"/>
                              </w:rPr>
                            </w:pPr>
                          </w:p>
                        </w:tc>
                      </w:tr>
                      <w:tr w:rsidR="004016EA" w:rsidRPr="004173DF" w14:paraId="4C9AD778" w14:textId="77777777" w:rsidTr="004173DF">
                        <w:trPr>
                          <w:gridAfter w:val="1"/>
                          <w:wAfter w:w="411" w:type="dxa"/>
                          <w:trHeight w:val="345"/>
                          <w:jc w:val="center"/>
                        </w:trPr>
                        <w:tc>
                          <w:tcPr>
                            <w:tcW w:w="6345" w:type="dxa"/>
                            <w:gridSpan w:val="2"/>
                          </w:tcPr>
                          <w:p w14:paraId="6397BEF3"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4F856C5C" w14:textId="77777777" w:rsidR="004016EA" w:rsidRPr="004173DF" w:rsidRDefault="004016EA" w:rsidP="005D031A">
                            <w:pPr>
                              <w:spacing w:after="80" w:line="300" w:lineRule="exact"/>
                              <w:jc w:val="center"/>
                              <w:rPr>
                                <w:rFonts w:cs="Arial"/>
                                <w:color w:val="FFFFFF"/>
                                <w:sz w:val="21"/>
                                <w:szCs w:val="21"/>
                              </w:rPr>
                            </w:pPr>
                          </w:p>
                        </w:tc>
                      </w:tr>
                      <w:tr w:rsidR="004016EA" w:rsidRPr="004173DF" w14:paraId="24D85AE6" w14:textId="77777777" w:rsidTr="004173DF">
                        <w:trPr>
                          <w:gridAfter w:val="1"/>
                          <w:wAfter w:w="411" w:type="dxa"/>
                          <w:trHeight w:val="345"/>
                          <w:jc w:val="center"/>
                        </w:trPr>
                        <w:tc>
                          <w:tcPr>
                            <w:tcW w:w="6345" w:type="dxa"/>
                            <w:gridSpan w:val="2"/>
                          </w:tcPr>
                          <w:p w14:paraId="6B48EC76" w14:textId="77777777" w:rsidR="004016EA" w:rsidRPr="004173DF" w:rsidRDefault="004016EA" w:rsidP="00AE6FDF">
                            <w:pPr>
                              <w:spacing w:after="80" w:line="300" w:lineRule="exact"/>
                              <w:jc w:val="center"/>
                              <w:rPr>
                                <w:rFonts w:cs="Arial"/>
                                <w:color w:val="FFFFFF"/>
                                <w:sz w:val="21"/>
                                <w:szCs w:val="21"/>
                              </w:rPr>
                            </w:pPr>
                          </w:p>
                        </w:tc>
                        <w:tc>
                          <w:tcPr>
                            <w:tcW w:w="4799" w:type="dxa"/>
                          </w:tcPr>
                          <w:p w14:paraId="67A44AD9" w14:textId="77777777" w:rsidR="004016EA" w:rsidRPr="004173DF" w:rsidRDefault="004016EA" w:rsidP="005D031A">
                            <w:pPr>
                              <w:spacing w:after="80" w:line="300" w:lineRule="exact"/>
                              <w:jc w:val="center"/>
                              <w:rPr>
                                <w:rFonts w:cs="Arial"/>
                                <w:color w:val="FFFFFF"/>
                                <w:sz w:val="21"/>
                                <w:szCs w:val="21"/>
                              </w:rPr>
                            </w:pPr>
                          </w:p>
                        </w:tc>
                      </w:tr>
                    </w:tbl>
                    <w:p w14:paraId="0F84013F" w14:textId="77777777" w:rsidR="004016EA" w:rsidRPr="00CD389F" w:rsidRDefault="004016EA" w:rsidP="002C6136">
                      <w:pPr>
                        <w:widowControl/>
                        <w:autoSpaceDE w:val="0"/>
                        <w:autoSpaceDN w:val="0"/>
                        <w:adjustRightInd w:val="0"/>
                        <w:spacing w:line="240" w:lineRule="auto"/>
                        <w:jc w:val="left"/>
                        <w:rPr>
                          <w:rFonts w:cs="Arial"/>
                          <w:color w:val="FFFFFF"/>
                          <w:sz w:val="25"/>
                          <w:szCs w:val="25"/>
                        </w:rPr>
                      </w:pPr>
                    </w:p>
                  </w:txbxContent>
                </v:textbox>
                <w10:wrap anchorx="page"/>
              </v:shape>
            </w:pict>
          </mc:Fallback>
        </mc:AlternateContent>
      </w:r>
      <w:r w:rsidRPr="00F00EEE">
        <w:rPr>
          <w:noProof/>
          <w:color w:val="000000"/>
          <w:lang w:val="de-DE" w:eastAsia="ja-JP"/>
        </w:rPr>
        <mc:AlternateContent>
          <mc:Choice Requires="wps">
            <w:drawing>
              <wp:anchor distT="0" distB="0" distL="114300" distR="114300" simplePos="0" relativeHeight="251661312" behindDoc="0" locked="0" layoutInCell="1" allowOverlap="1" wp14:anchorId="34CD893F" wp14:editId="0662A9BD">
                <wp:simplePos x="0" y="0"/>
                <wp:positionH relativeFrom="page">
                  <wp:align>left</wp:align>
                </wp:positionH>
                <wp:positionV relativeFrom="paragraph">
                  <wp:posOffset>137795</wp:posOffset>
                </wp:positionV>
                <wp:extent cx="96641285" cy="8255"/>
                <wp:effectExtent l="0" t="0" r="37465" b="29845"/>
                <wp:wrapNone/>
                <wp:docPr id="2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641285" cy="8255"/>
                        </a:xfrm>
                        <a:prstGeom prst="straightConnector1">
                          <a:avLst/>
                        </a:prstGeom>
                        <a:noFill/>
                        <a:ln w="25400">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7AF98" id="_x0000_t32" coordsize="21600,21600" o:spt="32" o:oned="t" path="m,l21600,21600e" filled="f">
                <v:path arrowok="t" fillok="f" o:connecttype="none"/>
                <o:lock v:ext="edit" shapetype="t"/>
              </v:shapetype>
              <v:shape id="AutoShape 94" o:spid="_x0000_s1026" type="#_x0000_t32" style="position:absolute;margin-left:0;margin-top:10.85pt;width:7609.55pt;height:.6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" strokecolor="#006747" strokeweight="2pt">
                <w10:wrap anchorx="page"/>
              </v:shape>
            </w:pict>
          </mc:Fallback>
        </mc:AlternateContent>
      </w:r>
    </w:p>
    <w:p w14:paraId="02ED85A9" w14:textId="3124D1D9" w:rsidR="005B6E23" w:rsidRPr="00F00EEE" w:rsidRDefault="00022F41">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64384" behindDoc="0" locked="0" layoutInCell="1" allowOverlap="1" wp14:anchorId="2B2EE4E4" wp14:editId="347D2B54">
                <wp:simplePos x="0" y="0"/>
                <wp:positionH relativeFrom="column">
                  <wp:posOffset>-733425</wp:posOffset>
                </wp:positionH>
                <wp:positionV relativeFrom="paragraph">
                  <wp:posOffset>1514475</wp:posOffset>
                </wp:positionV>
                <wp:extent cx="3600450" cy="25400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54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CCCC5" w14:textId="7F22E775"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9E795F">
                              <w:rPr>
                                <w:sz w:val="17"/>
                                <w:lang w:val="fr-FR"/>
                              </w:rPr>
                              <w:t>Fonds</w:t>
                            </w:r>
                            <w:r w:rsidRPr="00500CF0">
                              <w:rPr>
                                <w:sz w:val="17"/>
                                <w:lang w:val="fr-FR"/>
                              </w:rPr>
                              <w:t xml:space="preserve"> est géré activement sans avoir recours à un indice de référence.</w:t>
                            </w:r>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9E795F">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2EE4E4" id="_x0000_s1028" type="#_x0000_t202" style="position:absolute;margin-left:-57.75pt;margin-top:119.25pt;width:283.5pt;height:2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" stroked="f">
                <v:textbox>
                  <w:txbxContent>
                    <w:p w14:paraId="518CCCC5" w14:textId="7F22E775"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des rendements et à préserver le capital principalement par l’achat de titres de créance qui produisent des bénéfices tout en offrant une possibilité de conversion en actions (obligations convertibles). Le </w:t>
                      </w:r>
                      <w:r w:rsidR="009E795F">
                        <w:rPr>
                          <w:sz w:val="17"/>
                          <w:lang w:val="fr-FR"/>
                        </w:rPr>
                        <w:t>Fonds</w:t>
                      </w:r>
                      <w:r w:rsidRPr="00500CF0">
                        <w:rPr>
                          <w:sz w:val="17"/>
                          <w:lang w:val="fr-FR"/>
                        </w:rPr>
                        <w:t xml:space="preserve"> est géré activement sans avoir recours à un indice de référence.</w:t>
                      </w:r>
                    </w:p>
                    <w:p w14:paraId="21988EBD" w14:textId="7A33B07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vise à générer un rendement supérieur au </w:t>
                      </w:r>
                      <w:r w:rsidRPr="004016EA">
                        <w:rPr>
                          <w:sz w:val="17"/>
                          <w:lang w:val="fr-FR"/>
                        </w:rPr>
                        <w:t>SONIA.</w:t>
                      </w:r>
                    </w:p>
                    <w:p w14:paraId="74A8B516" w14:textId="6B917D59"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a une portée mondiale. Le </w:t>
                      </w:r>
                      <w:r w:rsidR="009E795F">
                        <w:rPr>
                          <w:sz w:val="17"/>
                          <w:lang w:val="fr-FR"/>
                        </w:rPr>
                        <w:t>Fonds</w:t>
                      </w:r>
                      <w:r w:rsidRPr="00500CF0">
                        <w:rPr>
                          <w:sz w:val="17"/>
                          <w:lang w:val="fr-FR"/>
                        </w:rPr>
                        <w:t xml:space="preserve"> investit dans des obligations d’entreprises ou d’États classées soit « investment grade », soit « non-investment grade » dans des pays développés et émergents. </w:t>
                      </w:r>
                    </w:p>
                    <w:p w14:paraId="10F3AC94" w14:textId="500F8222" w:rsidR="004016EA" w:rsidRPr="00500CF0" w:rsidRDefault="004016EA" w:rsidP="00520715">
                      <w:pPr>
                        <w:pStyle w:val="KIIDtext1"/>
                        <w:spacing w:after="80" w:line="200" w:lineRule="exact"/>
                        <w:rPr>
                          <w:sz w:val="17"/>
                          <w:lang w:val="fr-FR"/>
                        </w:rPr>
                      </w:pPr>
                      <w:r w:rsidRPr="00500CF0">
                        <w:rPr>
                          <w:sz w:val="17"/>
                          <w:lang w:val="fr-FR"/>
                        </w:rPr>
                        <w:t xml:space="preserve">Le </w:t>
                      </w:r>
                      <w:r>
                        <w:rPr>
                          <w:sz w:val="17"/>
                          <w:lang w:val="fr-FR"/>
                        </w:rPr>
                        <w:t>Fonds</w:t>
                      </w:r>
                      <w:r w:rsidRPr="00500CF0">
                        <w:rPr>
                          <w:sz w:val="17"/>
                          <w:lang w:val="fr-FR"/>
                        </w:rPr>
                        <w:t xml:space="preserve"> investit principalement dans des obligations convertibles qui s’échangent à une valeur proche de leur valeur à revenu fixe. Ces obligations convertibles sont moins sensibles aux fluctuations du cours des actions et s’approchent plus des obligations en termes de profil de risque, ce qui permet de bénéficier d’une protection si le cours des actions chute. . En cas de hausse du cours des actions, elles peuvent toujours en bénéficier car elles deviennent de plus en plus similaires à des actions. </w:t>
                      </w:r>
                    </w:p>
                    <w:p w14:paraId="6F306050" w14:textId="77777777" w:rsidR="004016EA" w:rsidRPr="00632B5E" w:rsidRDefault="004016EA" w:rsidP="00500CF0">
                      <w:pPr>
                        <w:pStyle w:val="KIIDtext1"/>
                        <w:spacing w:line="200" w:lineRule="exact"/>
                        <w:rPr>
                          <w:sz w:val="17"/>
                        </w:rPr>
                      </w:pPr>
                    </w:p>
                  </w:txbxContent>
                </v:textbox>
              </v:shape>
            </w:pict>
          </mc:Fallback>
        </mc:AlternateContent>
      </w:r>
      <w:r w:rsidRPr="00F00EEE">
        <w:rPr>
          <w:noProof/>
          <w:lang w:val="de-DE" w:eastAsia="ja-JP"/>
        </w:rPr>
        <mc:AlternateContent>
          <mc:Choice Requires="wps">
            <w:drawing>
              <wp:anchor distT="0" distB="0" distL="114300" distR="114300" simplePos="0" relativeHeight="251665408" behindDoc="0" locked="0" layoutInCell="1" allowOverlap="1" wp14:anchorId="09804B6A" wp14:editId="61706D04">
                <wp:simplePos x="0" y="0"/>
                <wp:positionH relativeFrom="column">
                  <wp:posOffset>2867025</wp:posOffset>
                </wp:positionH>
                <wp:positionV relativeFrom="paragraph">
                  <wp:posOffset>1371600</wp:posOffset>
                </wp:positionV>
                <wp:extent cx="3484880" cy="2616200"/>
                <wp:effectExtent l="0" t="0" r="127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880" cy="261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9E795F">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9E795F">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04B6A" id="_x0000_s1029" type="#_x0000_t202" style="position:absolute;margin-left:225.75pt;margin-top:108pt;width:274.4pt;height: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" stroked="f">
                <v:textbox>
                  <w:txbxContent>
                    <w:p w14:paraId="22472424" w14:textId="7C4A7751" w:rsidR="004016EA" w:rsidRPr="00520715" w:rsidRDefault="004016EA" w:rsidP="00520715">
                      <w:pPr>
                        <w:pStyle w:val="KIIDtext1"/>
                        <w:spacing w:after="80" w:line="264" w:lineRule="auto"/>
                        <w:rPr>
                          <w:rFonts w:cs="Arial"/>
                          <w:sz w:val="17"/>
                          <w:lang w:val="fr-FR"/>
                        </w:rPr>
                      </w:pPr>
                      <w:r w:rsidRPr="00520715">
                        <w:rPr>
                          <w:rFonts w:cs="Arial"/>
                          <w:sz w:val="17"/>
                          <w:lang w:val="fr-FR"/>
                        </w:rPr>
                        <w:t>Après déduction des frais, les recettes du Fonds ne seront pas distribuées aux investisseurs mais accumulées dans la valeur liquidative par action du Fonds.</w:t>
                      </w:r>
                    </w:p>
                    <w:p w14:paraId="7B0ED08D" w14:textId="7AB36247" w:rsidR="004016EA" w:rsidRPr="00520715" w:rsidRDefault="004016EA" w:rsidP="00520715">
                      <w:pPr>
                        <w:pStyle w:val="KIIDtext1"/>
                        <w:spacing w:after="80" w:line="264" w:lineRule="auto"/>
                        <w:rPr>
                          <w:rFonts w:cs="Arial"/>
                          <w:sz w:val="17"/>
                          <w:lang w:val="fr-FR"/>
                        </w:rPr>
                      </w:pPr>
                      <w:r w:rsidRPr="00520715">
                        <w:rPr>
                          <w:rFonts w:cs="Arial"/>
                          <w:sz w:val="17"/>
                          <w:lang w:val="fr-FR"/>
                        </w:rPr>
                        <w:t xml:space="preserve">La valeur du </w:t>
                      </w:r>
                      <w:r w:rsidR="009E795F">
                        <w:rPr>
                          <w:rFonts w:cs="Arial"/>
                          <w:sz w:val="17"/>
                          <w:lang w:val="fr-FR"/>
                        </w:rPr>
                        <w:t>Fonds</w:t>
                      </w:r>
                      <w:r w:rsidRPr="00520715">
                        <w:rPr>
                          <w:rFonts w:cs="Arial"/>
                          <w:sz w:val="17"/>
                          <w:lang w:val="fr-FR"/>
                        </w:rPr>
                        <w:t xml:space="preserve"> est calculée et publiée de manière journalière et les investisseurs peuvent acheter et/ou vendre des actions à toute date d’ouverture des banques à Dublin et à Londres.</w:t>
                      </w:r>
                    </w:p>
                    <w:p w14:paraId="6FDEAC5F" w14:textId="5683F01C"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Le </w:t>
                      </w:r>
                      <w:r w:rsidR="009E795F">
                        <w:rPr>
                          <w:rFonts w:cs="Arial"/>
                          <w:bCs/>
                          <w:sz w:val="17"/>
                          <w:lang w:val="fr-FR"/>
                        </w:rPr>
                        <w:t>Fonds</w:t>
                      </w:r>
                      <w:r w:rsidRPr="00520715">
                        <w:rPr>
                          <w:rFonts w:cs="Arial"/>
                          <w:bCs/>
                          <w:sz w:val="17"/>
                          <w:lang w:val="fr-FR"/>
                        </w:rPr>
                        <w:t xml:space="preserve"> peut, sans y être obligé, avoir recours aux dérivés pour réduire le risque ou assurer une gestion plus efficace.</w:t>
                      </w:r>
                    </w:p>
                    <w:p w14:paraId="6B767DE8" w14:textId="5D221DB0" w:rsidR="004016EA" w:rsidRPr="00520715" w:rsidRDefault="004016EA" w:rsidP="00520715">
                      <w:pPr>
                        <w:pStyle w:val="KIIDtext1"/>
                        <w:spacing w:after="80" w:line="264" w:lineRule="auto"/>
                        <w:rPr>
                          <w:rFonts w:cs="Arial"/>
                          <w:bCs/>
                          <w:sz w:val="17"/>
                          <w:lang w:val="fr-FR"/>
                        </w:rPr>
                      </w:pPr>
                      <w:r w:rsidRPr="00520715">
                        <w:rPr>
                          <w:rFonts w:cs="Arial"/>
                          <w:bCs/>
                          <w:sz w:val="17"/>
                          <w:lang w:val="fr-FR"/>
                        </w:rPr>
                        <w:t xml:space="preserve">Il est possible d’avoir recours aux </w:t>
                      </w:r>
                      <w:r w:rsidRPr="00520715">
                        <w:rPr>
                          <w:sz w:val="17"/>
                          <w:lang w:val="fr-FR"/>
                        </w:rPr>
                        <w:t>instruments financiers dérivés (IFD)</w:t>
                      </w:r>
                      <w:r w:rsidRPr="00520715">
                        <w:rPr>
                          <w:rFonts w:cs="Arial"/>
                          <w:bCs/>
                          <w:sz w:val="17"/>
                          <w:lang w:val="fr-FR"/>
                        </w:rPr>
                        <w:t xml:space="preserve"> pour atteindre les objectifs d’investissement et réduire le risque ou gérer le Fonds plus efficacement. Ceci peut inclure, sans s’y limiter, le recours aux </w:t>
                      </w:r>
                      <w:r w:rsidRPr="00520715">
                        <w:rPr>
                          <w:sz w:val="17"/>
                          <w:lang w:val="fr-FR"/>
                        </w:rPr>
                        <w:t>IFD</w:t>
                      </w:r>
                      <w:r w:rsidRPr="00520715">
                        <w:rPr>
                          <w:rFonts w:cs="Arial"/>
                          <w:bCs/>
                          <w:sz w:val="17"/>
                          <w:lang w:val="fr-FR"/>
                        </w:rPr>
                        <w:t xml:space="preserve"> pour créer une position courte en actions qui vise à réduire le risque sur actions sur les obligations convertibles longues.</w:t>
                      </w:r>
                    </w:p>
                    <w:p w14:paraId="356E3144" w14:textId="4F50B753" w:rsidR="004016EA" w:rsidRPr="00520715" w:rsidRDefault="004016EA" w:rsidP="00520715">
                      <w:pPr>
                        <w:pStyle w:val="KIIDtext1"/>
                        <w:spacing w:after="80" w:line="264" w:lineRule="auto"/>
                        <w:rPr>
                          <w:rFonts w:cs="Arial"/>
                          <w:b/>
                          <w:bCs/>
                          <w:sz w:val="17"/>
                          <w:lang w:val="fr-FR"/>
                        </w:rPr>
                      </w:pPr>
                      <w:r w:rsidRPr="00520715">
                        <w:rPr>
                          <w:rFonts w:cs="Arial"/>
                          <w:bCs/>
                          <w:sz w:val="17"/>
                          <w:lang w:val="fr-FR"/>
                        </w:rPr>
                        <w:t>Pour obtenir des informations complètes sur les objectifs et la politique d’investissement ainsi que les politiques de souscription et de rachat, veuillez consulter le prospectus.</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67967" behindDoc="1" locked="0" layoutInCell="1" allowOverlap="1" wp14:anchorId="54F53EE3" wp14:editId="13A27D40">
                <wp:simplePos x="0" y="0"/>
                <wp:positionH relativeFrom="column">
                  <wp:posOffset>-628650</wp:posOffset>
                </wp:positionH>
                <wp:positionV relativeFrom="paragraph">
                  <wp:posOffset>4438650</wp:posOffset>
                </wp:positionV>
                <wp:extent cx="3441700" cy="4648200"/>
                <wp:effectExtent l="0" t="0" r="635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4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4016EA" w:rsidRPr="0038249B" w:rsidRDefault="004016EA" w:rsidP="004C3B41">
                            <w:pPr>
                              <w:pStyle w:val="KIIDtext1"/>
                              <w:spacing w:line="276" w:lineRule="auto"/>
                              <w:rPr>
                                <w:sz w:val="17"/>
                                <w:lang w:val="fr-FR"/>
                              </w:rPr>
                            </w:pPr>
                            <w:r w:rsidRPr="0038249B">
                              <w:rPr>
                                <w:sz w:val="17"/>
                                <w:lang w:val="fr-FR"/>
                              </w:rPr>
                              <w:t xml:space="preserve">Le cours du </w:t>
                            </w:r>
                            <w:r w:rsidR="009E795F">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9E795F">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53EE3" id="_x0000_s1030" type="#_x0000_t202" style="position:absolute;margin-left:-49.5pt;margin-top:349.5pt;width:271pt;height:366pt;z-index:-2516485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" stroked="f">
                <v:textbox>
                  <w:txbxContent>
                    <w:tbl>
                      <w:tblPr>
                        <w:tblW w:w="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5031"/>
                      </w:tblGrid>
                      <w:tr w:rsidR="004016EA" w:rsidRPr="00543AB0" w14:paraId="0AFB0406" w14:textId="77777777" w:rsidTr="00520715">
                        <w:tc>
                          <w:tcPr>
                            <w:tcW w:w="5031" w:type="dxa"/>
                            <w:tcBorders>
                              <w:top w:val="nil"/>
                              <w:left w:val="nil"/>
                              <w:bottom w:val="nil"/>
                              <w:right w:val="nil"/>
                            </w:tcBorders>
                            <w:shd w:val="clear" w:color="auto" w:fill="auto"/>
                          </w:tcPr>
                          <w:tbl>
                            <w:tblPr>
                              <w:tblW w:w="4916" w:type="dxa"/>
                              <w:tblInd w:w="69" w:type="dxa"/>
                              <w:tblBorders>
                                <w:top w:val="single" w:sz="18" w:space="0" w:color="FFFFFF"/>
                                <w:bottom w:val="single" w:sz="18" w:space="0" w:color="FFFFFF"/>
                              </w:tblBorders>
                              <w:shd w:val="clear" w:color="auto" w:fill="FFFFFF"/>
                              <w:tblCellMar>
                                <w:top w:w="85" w:type="dxa"/>
                                <w:left w:w="0" w:type="dxa"/>
                                <w:right w:w="0" w:type="dxa"/>
                              </w:tblCellMar>
                              <w:tblLook w:val="04A0" w:firstRow="1" w:lastRow="0" w:firstColumn="1" w:lastColumn="0" w:noHBand="0" w:noVBand="1"/>
                            </w:tblPr>
                            <w:tblGrid>
                              <w:gridCol w:w="23"/>
                              <w:gridCol w:w="699"/>
                              <w:gridCol w:w="699"/>
                              <w:gridCol w:w="699"/>
                              <w:gridCol w:w="699"/>
                              <w:gridCol w:w="699"/>
                              <w:gridCol w:w="699"/>
                              <w:gridCol w:w="699"/>
                            </w:tblGrid>
                            <w:tr w:rsidR="004016EA" w:rsidRPr="006F31C1" w14:paraId="262DD0F9" w14:textId="77777777" w:rsidTr="00520715">
                              <w:trPr>
                                <w:trHeight w:val="168"/>
                              </w:trPr>
                              <w:tc>
                                <w:tcPr>
                                  <w:tcW w:w="2120" w:type="dxa"/>
                                  <w:gridSpan w:val="4"/>
                                  <w:shd w:val="clear" w:color="auto" w:fill="auto"/>
                                  <w:vAlign w:val="bottom"/>
                                </w:tcPr>
                                <w:p w14:paraId="133E9D68" w14:textId="76591027"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Risque moins élevé</w:t>
                                  </w:r>
                                </w:p>
                              </w:tc>
                              <w:tc>
                                <w:tcPr>
                                  <w:tcW w:w="699" w:type="dxa"/>
                                  <w:shd w:val="clear" w:color="auto" w:fill="auto"/>
                                  <w:vAlign w:val="bottom"/>
                                </w:tcPr>
                                <w:p w14:paraId="6429697C"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760E85BE" w14:textId="6729B0A9" w:rsidR="004016EA" w:rsidRPr="006F31C1" w:rsidRDefault="004016EA" w:rsidP="00520715">
                                  <w:pPr>
                                    <w:autoSpaceDE w:val="0"/>
                                    <w:autoSpaceDN w:val="0"/>
                                    <w:adjustRightInd w:val="0"/>
                                    <w:spacing w:line="240" w:lineRule="auto"/>
                                    <w:ind w:right="46"/>
                                    <w:jc w:val="right"/>
                                    <w:rPr>
                                      <w:rFonts w:cs="Arial"/>
                                      <w:b/>
                                      <w:i/>
                                      <w:color w:val="006747"/>
                                      <w:sz w:val="16"/>
                                      <w:szCs w:val="16"/>
                                    </w:rPr>
                                  </w:pPr>
                                  <w:r>
                                    <w:rPr>
                                      <w:rFonts w:cs="Arial"/>
                                      <w:b/>
                                      <w:i/>
                                      <w:color w:val="006747"/>
                                      <w:sz w:val="16"/>
                                      <w:szCs w:val="16"/>
                                      <w:lang w:val="fr-FR"/>
                                    </w:rPr>
                                    <w:t>Risque plus</w:t>
                                  </w:r>
                                  <w:r w:rsidRPr="00731E65">
                                    <w:rPr>
                                      <w:rFonts w:cs="Arial"/>
                                      <w:b/>
                                      <w:i/>
                                      <w:color w:val="006747"/>
                                      <w:sz w:val="16"/>
                                      <w:szCs w:val="16"/>
                                      <w:lang w:val="fr-FR"/>
                                    </w:rPr>
                                    <w:t xml:space="preserve"> élevé</w:t>
                                  </w:r>
                                </w:p>
                              </w:tc>
                            </w:tr>
                            <w:tr w:rsidR="004016EA" w:rsidRPr="006F31C1" w14:paraId="7E4321A5" w14:textId="77777777" w:rsidTr="00520715">
                              <w:trPr>
                                <w:trHeight w:val="20"/>
                              </w:trPr>
                              <w:tc>
                                <w:tcPr>
                                  <w:tcW w:w="2120" w:type="dxa"/>
                                  <w:gridSpan w:val="4"/>
                                  <w:shd w:val="clear" w:color="auto" w:fill="auto"/>
                                  <w:vAlign w:val="bottom"/>
                                </w:tcPr>
                                <w:p w14:paraId="661F4071" w14:textId="597D45EB" w:rsidR="004016EA" w:rsidRPr="006F31C1" w:rsidRDefault="004016EA" w:rsidP="00520715">
                                  <w:pPr>
                                    <w:autoSpaceDE w:val="0"/>
                                    <w:autoSpaceDN w:val="0"/>
                                    <w:adjustRightInd w:val="0"/>
                                    <w:spacing w:line="240" w:lineRule="auto"/>
                                    <w:jc w:val="left"/>
                                    <w:rPr>
                                      <w:rFonts w:cs="Arial"/>
                                      <w:i/>
                                      <w:color w:val="8C8984"/>
                                      <w:sz w:val="16"/>
                                      <w:szCs w:val="16"/>
                                    </w:rPr>
                                  </w:pPr>
                                  <w:r w:rsidRPr="00731E65">
                                    <w:rPr>
                                      <w:rFonts w:cs="Arial"/>
                                      <w:b/>
                                      <w:i/>
                                      <w:color w:val="006747"/>
                                      <w:sz w:val="16"/>
                                      <w:szCs w:val="16"/>
                                      <w:lang w:val="fr-FR"/>
                                    </w:rPr>
                                    <w:t>Rendement généralement plus faible</w:t>
                                  </w:r>
                                </w:p>
                              </w:tc>
                              <w:tc>
                                <w:tcPr>
                                  <w:tcW w:w="699" w:type="dxa"/>
                                  <w:shd w:val="clear" w:color="auto" w:fill="auto"/>
                                  <w:vAlign w:val="bottom"/>
                                </w:tcPr>
                                <w:p w14:paraId="57F81ADF" w14:textId="77777777" w:rsidR="004016EA" w:rsidRPr="006F31C1" w:rsidRDefault="004016EA" w:rsidP="00520715">
                                  <w:pPr>
                                    <w:autoSpaceDE w:val="0"/>
                                    <w:autoSpaceDN w:val="0"/>
                                    <w:adjustRightInd w:val="0"/>
                                    <w:spacing w:line="240" w:lineRule="auto"/>
                                    <w:jc w:val="center"/>
                                    <w:rPr>
                                      <w:rFonts w:cs="Arial"/>
                                      <w:i/>
                                      <w:color w:val="8C8984"/>
                                      <w:sz w:val="16"/>
                                      <w:szCs w:val="16"/>
                                    </w:rPr>
                                  </w:pPr>
                                </w:p>
                              </w:tc>
                              <w:tc>
                                <w:tcPr>
                                  <w:tcW w:w="2097" w:type="dxa"/>
                                  <w:gridSpan w:val="3"/>
                                  <w:shd w:val="clear" w:color="auto" w:fill="auto"/>
                                  <w:vAlign w:val="bottom"/>
                                </w:tcPr>
                                <w:p w14:paraId="642BC576" w14:textId="1AE839AD" w:rsidR="004016EA" w:rsidRPr="006F31C1" w:rsidRDefault="004016EA" w:rsidP="00520715">
                                  <w:pPr>
                                    <w:autoSpaceDE w:val="0"/>
                                    <w:autoSpaceDN w:val="0"/>
                                    <w:adjustRightInd w:val="0"/>
                                    <w:spacing w:line="240" w:lineRule="auto"/>
                                    <w:ind w:right="45"/>
                                    <w:jc w:val="right"/>
                                    <w:rPr>
                                      <w:rFonts w:cs="Arial"/>
                                      <w:b/>
                                      <w:i/>
                                      <w:color w:val="006747"/>
                                      <w:sz w:val="16"/>
                                      <w:szCs w:val="16"/>
                                    </w:rPr>
                                  </w:pPr>
                                  <w:r w:rsidRPr="00731E65">
                                    <w:rPr>
                                      <w:rFonts w:cs="Arial"/>
                                      <w:b/>
                                      <w:i/>
                                      <w:color w:val="006747"/>
                                      <w:sz w:val="16"/>
                                      <w:szCs w:val="16"/>
                                      <w:lang w:val="fr-FR"/>
                                    </w:rPr>
                                    <w:t>Re</w:t>
                                  </w:r>
                                  <w:r>
                                    <w:rPr>
                                      <w:rFonts w:cs="Arial"/>
                                      <w:b/>
                                      <w:i/>
                                      <w:color w:val="006747"/>
                                      <w:sz w:val="16"/>
                                      <w:szCs w:val="16"/>
                                      <w:lang w:val="fr-FR"/>
                                    </w:rPr>
                                    <w:t>ndement généralement plus élevé</w:t>
                                  </w:r>
                                </w:p>
                              </w:tc>
                            </w:tr>
                            <w:tr w:rsidR="004016EA" w:rsidRPr="006F31C1" w14:paraId="1BFF7AA0" w14:textId="77777777" w:rsidTr="00520715">
                              <w:tblPrEx>
                                <w:tblBorders>
                                  <w:top w:val="none" w:sz="0" w:space="0" w:color="auto"/>
                                  <w:bottom w:val="none" w:sz="0" w:space="0" w:color="auto"/>
                                  <w:insideV w:val="single" w:sz="12" w:space="0" w:color="5696BC"/>
                                </w:tblBorders>
                              </w:tblPrEx>
                              <w:trPr>
                                <w:gridBefore w:val="1"/>
                                <w:wBefore w:w="23" w:type="dxa"/>
                                <w:trHeight w:val="402"/>
                              </w:trPr>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706EB8B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1</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62B13565"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2</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435A59B4"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3</w:t>
                                  </w:r>
                                </w:p>
                              </w:tc>
                              <w:tc>
                                <w:tcPr>
                                  <w:tcW w:w="699" w:type="dxa"/>
                                  <w:tcBorders>
                                    <w:top w:val="single" w:sz="18" w:space="0" w:color="FFFFFF"/>
                                    <w:left w:val="single" w:sz="18" w:space="0" w:color="FFFFFF"/>
                                    <w:bottom w:val="single" w:sz="18" w:space="0" w:color="FFFFFF"/>
                                    <w:right w:val="single" w:sz="18" w:space="0" w:color="FFFFFF"/>
                                  </w:tcBorders>
                                  <w:shd w:val="clear" w:color="auto" w:fill="006747"/>
                                  <w:vAlign w:val="center"/>
                                </w:tcPr>
                                <w:p w14:paraId="7C302B73" w14:textId="77777777" w:rsidR="004016EA" w:rsidRPr="006F31C1" w:rsidRDefault="004016EA" w:rsidP="00520715">
                                  <w:pPr>
                                    <w:autoSpaceDE w:val="0"/>
                                    <w:autoSpaceDN w:val="0"/>
                                    <w:adjustRightInd w:val="0"/>
                                    <w:spacing w:before="80" w:after="60" w:line="240" w:lineRule="auto"/>
                                    <w:jc w:val="center"/>
                                    <w:rPr>
                                      <w:rFonts w:cs="Arial"/>
                                      <w:b/>
                                      <w:color w:val="FFFFFF"/>
                                      <w:szCs w:val="16"/>
                                    </w:rPr>
                                  </w:pPr>
                                  <w:r w:rsidRPr="006F31C1">
                                    <w:rPr>
                                      <w:rFonts w:cs="Arial"/>
                                      <w:b/>
                                      <w:color w:val="FFFFFF"/>
                                      <w:szCs w:val="16"/>
                                    </w:rPr>
                                    <w:t>4</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EFFCB8B"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5</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16307B93"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6</w:t>
                                  </w:r>
                                </w:p>
                              </w:tc>
                              <w:tc>
                                <w:tcPr>
                                  <w:tcW w:w="699" w:type="dxa"/>
                                  <w:tcBorders>
                                    <w:top w:val="single" w:sz="18" w:space="0" w:color="FFFFFF"/>
                                    <w:left w:val="single" w:sz="18" w:space="0" w:color="FFFFFF"/>
                                    <w:bottom w:val="single" w:sz="18" w:space="0" w:color="FFFFFF"/>
                                    <w:right w:val="single" w:sz="18" w:space="0" w:color="FFFFFF"/>
                                  </w:tcBorders>
                                  <w:shd w:val="clear" w:color="auto" w:fill="CCE1DA"/>
                                  <w:vAlign w:val="center"/>
                                </w:tcPr>
                                <w:p w14:paraId="5D017557" w14:textId="77777777" w:rsidR="004016EA" w:rsidRPr="006F31C1" w:rsidRDefault="004016EA" w:rsidP="00520715">
                                  <w:pPr>
                                    <w:autoSpaceDE w:val="0"/>
                                    <w:autoSpaceDN w:val="0"/>
                                    <w:adjustRightInd w:val="0"/>
                                    <w:spacing w:before="80" w:after="60" w:line="240" w:lineRule="auto"/>
                                    <w:jc w:val="center"/>
                                    <w:rPr>
                                      <w:rFonts w:cs="Arial"/>
                                      <w:b/>
                                      <w:color w:val="006747"/>
                                      <w:szCs w:val="16"/>
                                    </w:rPr>
                                  </w:pPr>
                                  <w:r w:rsidRPr="006F31C1">
                                    <w:rPr>
                                      <w:rFonts w:cs="Arial"/>
                                      <w:b/>
                                      <w:color w:val="006747"/>
                                      <w:szCs w:val="16"/>
                                    </w:rPr>
                                    <w:t>7</w:t>
                                  </w:r>
                                </w:p>
                              </w:tc>
                            </w:tr>
                          </w:tbl>
                          <w:p w14:paraId="331014CE" w14:textId="77777777" w:rsidR="004016EA" w:rsidRPr="00543AB0" w:rsidRDefault="004016EA" w:rsidP="00520715">
                            <w:pPr>
                              <w:tabs>
                                <w:tab w:val="left" w:pos="2268"/>
                              </w:tabs>
                              <w:autoSpaceDE w:val="0"/>
                              <w:autoSpaceDN w:val="0"/>
                              <w:adjustRightInd w:val="0"/>
                              <w:spacing w:before="80" w:after="60" w:line="240" w:lineRule="auto"/>
                              <w:rPr>
                                <w:rFonts w:ascii="Gill Sans MT" w:hAnsi="Gill Sans MT"/>
                                <w:color w:val="FFFFFF"/>
                                <w:sz w:val="16"/>
                                <w:szCs w:val="16"/>
                              </w:rPr>
                            </w:pPr>
                          </w:p>
                        </w:tc>
                      </w:tr>
                    </w:tbl>
                    <w:p w14:paraId="21D7440D" w14:textId="7BD2C2B9" w:rsidR="004016EA" w:rsidRPr="0038249B" w:rsidRDefault="004016EA" w:rsidP="004C3B41">
                      <w:pPr>
                        <w:pStyle w:val="KIIDtext1"/>
                        <w:spacing w:before="120" w:line="276" w:lineRule="auto"/>
                        <w:rPr>
                          <w:sz w:val="17"/>
                          <w:lang w:val="fr-FR"/>
                        </w:rPr>
                      </w:pPr>
                      <w:r w:rsidRPr="0038249B">
                        <w:rPr>
                          <w:sz w:val="17"/>
                          <w:lang w:val="fr-FR"/>
                        </w:rPr>
                        <w:t>Le Fonds est classé 4 aux fins de ce tableau en raison de ses investissements dans des obligations convertibles et de son recours aux IFD. Ceci signifie que le risque du Fonds est généralement plus élevé que celui des titres à revenu fixe, mais moins élevé que celui des actions.</w:t>
                      </w:r>
                    </w:p>
                    <w:p w14:paraId="5A5A5B79" w14:textId="107D1E13" w:rsidR="004016EA" w:rsidRPr="0038249B" w:rsidRDefault="004016EA" w:rsidP="004C3B41">
                      <w:pPr>
                        <w:pStyle w:val="KIIDtext1"/>
                        <w:spacing w:line="276" w:lineRule="auto"/>
                        <w:rPr>
                          <w:sz w:val="17"/>
                          <w:lang w:val="fr-FR"/>
                        </w:rPr>
                      </w:pPr>
                      <w:r w:rsidRPr="0038249B">
                        <w:rPr>
                          <w:sz w:val="17"/>
                          <w:lang w:val="fr-FR"/>
                        </w:rPr>
                        <w:t>Comme les marchés des obligations convertibles et des actions, le Fonds peut subir des baisses des cours de temps à autre. Même si le Fonds cherche à réduire le risque en investissant dans une plage d’actifs diversifiée, cette diversification n’élimine pas le risque totalement.</w:t>
                      </w:r>
                    </w:p>
                    <w:p w14:paraId="57740600" w14:textId="10C7AEF7" w:rsidR="004016EA" w:rsidRPr="0038249B" w:rsidRDefault="004016EA" w:rsidP="004C3B41">
                      <w:pPr>
                        <w:pStyle w:val="KIIDtext1"/>
                        <w:spacing w:line="276" w:lineRule="auto"/>
                        <w:rPr>
                          <w:sz w:val="17"/>
                          <w:lang w:val="fr-FR"/>
                        </w:rPr>
                      </w:pPr>
                      <w:r w:rsidRPr="0038249B">
                        <w:rPr>
                          <w:sz w:val="17"/>
                          <w:lang w:val="fr-FR"/>
                        </w:rPr>
                        <w:t>L’indicateur de risque et de rendement a été calculé en s’appuyant sur les performances antérieures et pourrait ne pas constituer une indication fiable du profil du Fonds à l’avenir.</w:t>
                      </w:r>
                    </w:p>
                    <w:p w14:paraId="19170E10" w14:textId="5CE7C014" w:rsidR="004016EA" w:rsidRPr="0038249B" w:rsidRDefault="004016EA" w:rsidP="004C3B41">
                      <w:pPr>
                        <w:pStyle w:val="KIIDtext1"/>
                        <w:spacing w:line="276" w:lineRule="auto"/>
                        <w:rPr>
                          <w:sz w:val="17"/>
                          <w:lang w:val="fr-FR"/>
                        </w:rPr>
                      </w:pPr>
                      <w:r w:rsidRPr="0038249B">
                        <w:rPr>
                          <w:sz w:val="17"/>
                          <w:lang w:val="fr-FR"/>
                        </w:rPr>
                        <w:t>La catégorie de risque et de rendement indiquée ci-dessus n’est pas garantie et peut fluctuer à la hausse ou à la baisse au fil du temps. La catégorie la plus faible n’est pas dépourvue de risque.</w:t>
                      </w:r>
                    </w:p>
                    <w:p w14:paraId="4F759B39" w14:textId="5CB73D4E" w:rsidR="004016EA" w:rsidRPr="0038249B" w:rsidRDefault="004016EA" w:rsidP="004C3B41">
                      <w:pPr>
                        <w:pStyle w:val="KIIDtext1"/>
                        <w:spacing w:line="276" w:lineRule="auto"/>
                        <w:rPr>
                          <w:sz w:val="17"/>
                          <w:lang w:val="fr-FR"/>
                        </w:rPr>
                      </w:pPr>
                      <w:r w:rsidRPr="0038249B">
                        <w:rPr>
                          <w:sz w:val="17"/>
                          <w:lang w:val="fr-FR"/>
                        </w:rPr>
                        <w:t xml:space="preserve">Le cours du </w:t>
                      </w:r>
                      <w:r w:rsidR="009E795F">
                        <w:rPr>
                          <w:sz w:val="17"/>
                          <w:lang w:val="fr-FR"/>
                        </w:rPr>
                        <w:t>Fonds</w:t>
                      </w:r>
                      <w:r w:rsidRPr="0038249B">
                        <w:rPr>
                          <w:sz w:val="17"/>
                          <w:lang w:val="fr-FR"/>
                        </w:rPr>
                        <w:t xml:space="preserve"> peut chuter aussi bien qu’augmenter. Il est possible que vous ne puissiez jamais recouvrer le montant initial investi.</w:t>
                      </w:r>
                    </w:p>
                    <w:p w14:paraId="5463CE39" w14:textId="77777777" w:rsidR="004016EA" w:rsidRPr="0038249B" w:rsidRDefault="004016EA" w:rsidP="004C3B41">
                      <w:pPr>
                        <w:pStyle w:val="KIIDtext1"/>
                        <w:spacing w:line="276" w:lineRule="auto"/>
                        <w:rPr>
                          <w:rFonts w:cs="Arial"/>
                          <w:sz w:val="17"/>
                          <w:lang w:val="fr-FR"/>
                        </w:rPr>
                      </w:pPr>
                      <w:r w:rsidRPr="0038249B">
                        <w:rPr>
                          <w:rFonts w:cs="Arial"/>
                          <w:b/>
                          <w:sz w:val="17"/>
                          <w:lang w:val="fr-FR"/>
                        </w:rPr>
                        <w:t>Autres risques importants</w:t>
                      </w:r>
                    </w:p>
                    <w:p w14:paraId="471ABBA8" w14:textId="30BA5BFE" w:rsidR="004016EA" w:rsidRPr="004C3B41" w:rsidRDefault="004016EA" w:rsidP="004C3B41">
                      <w:pPr>
                        <w:pStyle w:val="KIIDtext1"/>
                        <w:spacing w:line="276" w:lineRule="auto"/>
                        <w:rPr>
                          <w:rFonts w:cs="Arial"/>
                          <w:sz w:val="17"/>
                          <w:lang w:val="fr-FR"/>
                        </w:rPr>
                      </w:pPr>
                      <w:r w:rsidRPr="0038249B">
                        <w:rPr>
                          <w:rFonts w:cs="Arial"/>
                          <w:b/>
                          <w:bCs/>
                          <w:sz w:val="17"/>
                          <w:lang w:val="fr-FR"/>
                        </w:rPr>
                        <w:t xml:space="preserve">Risque de crédit/de contrepartie </w:t>
                      </w:r>
                      <w:r w:rsidRPr="0038249B">
                        <w:rPr>
                          <w:rFonts w:cs="Arial"/>
                          <w:sz w:val="17"/>
                          <w:lang w:val="fr-FR"/>
                        </w:rPr>
                        <w:t xml:space="preserve">: une partie ou un émetteur avec laquelle ou lequel le </w:t>
                      </w:r>
                      <w:r w:rsidR="009E795F">
                        <w:rPr>
                          <w:rFonts w:cs="Arial"/>
                          <w:sz w:val="17"/>
                          <w:lang w:val="fr-FR"/>
                        </w:rPr>
                        <w:t>Fonds</w:t>
                      </w:r>
                      <w:r w:rsidRPr="0038249B">
                        <w:rPr>
                          <w:rFonts w:cs="Arial"/>
                          <w:sz w:val="17"/>
                          <w:lang w:val="fr-FR"/>
                        </w:rPr>
                        <w:t xml:space="preserve"> effectue des transactions peut omettre d’exécuter ses obligations,</w:t>
                      </w:r>
                      <w:r>
                        <w:rPr>
                          <w:rFonts w:cs="Arial"/>
                          <w:sz w:val="17"/>
                          <w:lang w:val="fr-FR"/>
                        </w:rPr>
                        <w:t xml:space="preserve"> ce qui peut générer des pertes</w:t>
                      </w:r>
                      <w:r w:rsidRPr="0038249B">
                        <w:rPr>
                          <w:sz w:val="17"/>
                          <w:lang w:val="fr-FR"/>
                        </w:rPr>
                        <w:t>.</w:t>
                      </w:r>
                    </w:p>
                  </w:txbxContent>
                </v:textbox>
              </v:shape>
            </w:pict>
          </mc:Fallback>
        </mc:AlternateContent>
      </w:r>
      <w:r w:rsidR="0072416B" w:rsidRPr="00F00EEE">
        <w:rPr>
          <w:noProof/>
          <w:lang w:val="de-DE" w:eastAsia="ja-JP"/>
        </w:rPr>
        <mc:AlternateContent>
          <mc:Choice Requires="wps">
            <w:drawing>
              <wp:anchor distT="0" distB="0" distL="114300" distR="114300" simplePos="0" relativeHeight="251656189" behindDoc="0" locked="0" layoutInCell="1" allowOverlap="1" wp14:anchorId="00B1B62C" wp14:editId="6609E14C">
                <wp:simplePos x="0" y="0"/>
                <wp:positionH relativeFrom="column">
                  <wp:posOffset>-542290</wp:posOffset>
                </wp:positionH>
                <wp:positionV relativeFrom="paragraph">
                  <wp:posOffset>4437380</wp:posOffset>
                </wp:positionV>
                <wp:extent cx="3204210" cy="958215"/>
                <wp:effectExtent l="0" t="0" r="15240" b="13335"/>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95821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p w14:paraId="761AD6B8" w14:textId="77777777" w:rsidR="004016EA" w:rsidRDefault="004016EA" w:rsidP="005B6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1B62C" id="Rectangle 131" o:spid="_x0000_s1031" style="position:absolute;margin-left:-42.7pt;margin-top:349.4pt;width:252.3pt;height:75.4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" filled="f" strokecolor="#006747">
                <v:textbox>
                  <w:txbxContent>
                    <w:p w14:paraId="761AD6B8" w14:textId="77777777" w:rsidR="004016EA" w:rsidRDefault="004016EA" w:rsidP="005B6E23"/>
                  </w:txbxContent>
                </v:textbox>
              </v:rect>
            </w:pict>
          </mc:Fallback>
        </mc:AlternateContent>
      </w:r>
      <w:r w:rsidR="004C3B41" w:rsidRPr="00F00EEE">
        <w:rPr>
          <w:noProof/>
          <w:lang w:val="de-DE" w:eastAsia="ja-JP"/>
        </w:rPr>
        <mc:AlternateContent>
          <mc:Choice Requires="wps">
            <w:drawing>
              <wp:anchor distT="0" distB="0" distL="114300" distR="114300" simplePos="0" relativeHeight="251668480" behindDoc="0" locked="0" layoutInCell="1" allowOverlap="1" wp14:anchorId="775DDF5F" wp14:editId="496132A6">
                <wp:simplePos x="0" y="0"/>
                <wp:positionH relativeFrom="column">
                  <wp:posOffset>2752725</wp:posOffset>
                </wp:positionH>
                <wp:positionV relativeFrom="paragraph">
                  <wp:posOffset>4152265</wp:posOffset>
                </wp:positionV>
                <wp:extent cx="3570605" cy="50387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9E795F">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9E795F">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9E795F">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61842E5E"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1" w:history="1">
                              <w:r w:rsidRPr="009E60FF">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DDF5F" id="_x0000_s1032" type="#_x0000_t202" style="position:absolute;margin-left:216.75pt;margin-top:326.95pt;width:281.15pt;height:39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" stroked="f">
                <v:textbox>
                  <w:txbxContent>
                    <w:p w14:paraId="5D31F9A4" w14:textId="77777777" w:rsidR="004016EA" w:rsidRPr="0038249B" w:rsidRDefault="004016EA" w:rsidP="004C3B41">
                      <w:pPr>
                        <w:pStyle w:val="KIIDtext1"/>
                        <w:numPr>
                          <w:ilvl w:val="0"/>
                          <w:numId w:val="5"/>
                        </w:numPr>
                        <w:spacing w:line="252" w:lineRule="auto"/>
                        <w:ind w:left="284" w:hanging="284"/>
                        <w:rPr>
                          <w:sz w:val="17"/>
                          <w:lang w:val="fr-FR"/>
                        </w:rPr>
                      </w:pPr>
                      <w:r w:rsidRPr="0038249B">
                        <w:rPr>
                          <w:b/>
                          <w:bCs/>
                          <w:sz w:val="17"/>
                          <w:lang w:val="fr-FR"/>
                        </w:rPr>
                        <w:t>Risque de devise de catégorie</w:t>
                      </w:r>
                      <w:r w:rsidRPr="0038249B">
                        <w:rPr>
                          <w:sz w:val="17"/>
                          <w:lang w:val="fr-FR"/>
                        </w:rPr>
                        <w:t xml:space="preserve"> : la couverture de devises n’est pas nécessairement efficace pour atténuer les effets des fluctuations de cha</w:t>
                      </w:r>
                      <w:r>
                        <w:rPr>
                          <w:sz w:val="17"/>
                          <w:lang w:val="fr-FR"/>
                        </w:rPr>
                        <w:t>nge sur les catégories hors USD</w:t>
                      </w:r>
                      <w:r w:rsidRPr="0038249B">
                        <w:rPr>
                          <w:sz w:val="17"/>
                          <w:lang w:val="fr-FR"/>
                        </w:rPr>
                        <w:t>.</w:t>
                      </w:r>
                    </w:p>
                    <w:p w14:paraId="58E73967" w14:textId="7777777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aux marchés émergents</w:t>
                      </w:r>
                      <w:r w:rsidRPr="00AB14EA">
                        <w:rPr>
                          <w:rFonts w:cs="Arial"/>
                          <w:sz w:val="17"/>
                          <w:lang w:val="fr-FR"/>
                        </w:rPr>
                        <w:t xml:space="preserve"> : les marchés émergents sont parfois associés à des risques élevés à cause des pénuries de liquidités et, potentiellement, du manque de structures financières, juridiques, sociales, politiques et économiques adéquates et de l’absence de mesures de protection et de stabilité ainsi que des positions fiscales incertaines.</w:t>
                      </w:r>
                    </w:p>
                    <w:p w14:paraId="39920740" w14:textId="45263DBA"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opérationnel</w:t>
                      </w:r>
                      <w:r w:rsidRPr="00AB14EA">
                        <w:rPr>
                          <w:rFonts w:cs="Arial"/>
                          <w:sz w:val="17"/>
                          <w:lang w:val="fr-FR"/>
                        </w:rPr>
                        <w:t xml:space="preserve"> : le </w:t>
                      </w:r>
                      <w:r w:rsidR="009E795F">
                        <w:rPr>
                          <w:rFonts w:cs="Arial"/>
                          <w:sz w:val="17"/>
                          <w:lang w:val="fr-FR"/>
                        </w:rPr>
                        <w:t>Fonds</w:t>
                      </w:r>
                      <w:r w:rsidRPr="00AB14EA">
                        <w:rPr>
                          <w:rFonts w:cs="Arial"/>
                          <w:sz w:val="17"/>
                          <w:lang w:val="fr-FR"/>
                        </w:rPr>
                        <w:t xml:space="preserve"> peut être confronté à des risques importants en raison d’erreurs humaines, de pannes des systèmes et/ou des processus, de procédures ou mesures de contrôle inadéquates. </w:t>
                      </w:r>
                    </w:p>
                    <w:p w14:paraId="322CEC21" w14:textId="0F66910F"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change</w:t>
                      </w:r>
                      <w:r w:rsidRPr="00AB14EA">
                        <w:rPr>
                          <w:rFonts w:cs="Arial"/>
                          <w:sz w:val="17"/>
                          <w:lang w:val="fr-FR"/>
                        </w:rPr>
                        <w:t xml:space="preserve"> : les fluctuations des taux de change peuvent réduire ou augmenter la valeur des actifs non libellés en USD détenus par le </w:t>
                      </w:r>
                      <w:r w:rsidR="009E795F">
                        <w:rPr>
                          <w:rFonts w:cs="Arial"/>
                          <w:sz w:val="17"/>
                          <w:lang w:val="fr-FR"/>
                        </w:rPr>
                        <w:t>Fonds</w:t>
                      </w:r>
                      <w:r w:rsidRPr="00AB14EA">
                        <w:rPr>
                          <w:rFonts w:cs="Arial"/>
                          <w:sz w:val="17"/>
                          <w:lang w:val="fr-FR"/>
                        </w:rPr>
                        <w:t>. Les couvertures de devises pourraient s’avérer inefficaces pour atténuer ces effets.</w:t>
                      </w:r>
                    </w:p>
                    <w:p w14:paraId="006B8B94" w14:textId="74BC42C2"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 au haut rendement</w:t>
                      </w:r>
                      <w:r w:rsidRPr="00AB14EA">
                        <w:rPr>
                          <w:rFonts w:cs="Arial"/>
                          <w:sz w:val="17"/>
                          <w:lang w:val="fr-FR"/>
                        </w:rPr>
                        <w:t xml:space="preserve"> : les investissements à haut rendement, c’est-à-dire les instruments qui dégagent des revenus élevés, reposent généralement sur un risque de crédit et une sensibilité accrue aux développements économiques, ce qui donne lieu à des fluctuations des cours plus importantes que les instruments à bas rendement. </w:t>
                      </w:r>
                    </w:p>
                    <w:p w14:paraId="38D65B39" w14:textId="256CE0C0"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de liquidité</w:t>
                      </w:r>
                      <w:r w:rsidRPr="00AB14EA">
                        <w:rPr>
                          <w:rFonts w:cs="Arial"/>
                          <w:sz w:val="17"/>
                          <w:lang w:val="fr-FR"/>
                        </w:rPr>
                        <w:t xml:space="preserve"> : les obligations convertibles s’échangent principalement sur un marché de gré à gré et peuvent s’appuyer sur des liquidités plus faibles que les actions sous-jacentes.</w:t>
                      </w:r>
                    </w:p>
                    <w:p w14:paraId="18B9FEBF" w14:textId="2797D357" w:rsidR="004016EA" w:rsidRPr="00AB14EA" w:rsidRDefault="004016EA" w:rsidP="004C3B41">
                      <w:pPr>
                        <w:pStyle w:val="KIIDtext1"/>
                        <w:numPr>
                          <w:ilvl w:val="0"/>
                          <w:numId w:val="5"/>
                        </w:numPr>
                        <w:spacing w:line="252" w:lineRule="auto"/>
                        <w:ind w:left="284" w:hanging="284"/>
                        <w:rPr>
                          <w:rFonts w:cs="Arial"/>
                          <w:sz w:val="17"/>
                          <w:lang w:val="fr-FR"/>
                        </w:rPr>
                      </w:pPr>
                      <w:r w:rsidRPr="00AB14EA">
                        <w:rPr>
                          <w:rFonts w:cs="Arial"/>
                          <w:b/>
                          <w:bCs/>
                          <w:sz w:val="17"/>
                          <w:lang w:val="fr-FR"/>
                        </w:rPr>
                        <w:t>Risque liés aux dérivés et à l’effet de levier</w:t>
                      </w:r>
                      <w:r w:rsidRPr="00AB14EA">
                        <w:rPr>
                          <w:rFonts w:cs="Arial"/>
                          <w:sz w:val="17"/>
                          <w:lang w:val="fr-FR"/>
                        </w:rPr>
                        <w:t xml:space="preserve"> : certains dérivés peuvent introduire un effet de levier dans le </w:t>
                      </w:r>
                      <w:r w:rsidR="009E795F">
                        <w:rPr>
                          <w:rFonts w:cs="Arial"/>
                          <w:sz w:val="17"/>
                          <w:lang w:val="fr-FR"/>
                        </w:rPr>
                        <w:t>Fonds</w:t>
                      </w:r>
                      <w:r w:rsidRPr="00AB14EA">
                        <w:rPr>
                          <w:rFonts w:cs="Arial"/>
                          <w:sz w:val="17"/>
                          <w:lang w:val="fr-FR"/>
                        </w:rPr>
                        <w:t xml:space="preserve"> qui peut entraîner des pertes supérieures au montant initialement investi dans ces dérivés. </w:t>
                      </w:r>
                    </w:p>
                    <w:p w14:paraId="452F9445" w14:textId="61842E5E" w:rsidR="004016EA" w:rsidRPr="00AB14EA" w:rsidRDefault="004016EA" w:rsidP="004C3B41">
                      <w:pPr>
                        <w:pStyle w:val="KIIDtext1"/>
                        <w:spacing w:line="252" w:lineRule="auto"/>
                        <w:rPr>
                          <w:rFonts w:cs="Arial"/>
                          <w:sz w:val="17"/>
                          <w:lang w:val="fr-FR"/>
                        </w:rPr>
                      </w:pPr>
                      <w:r w:rsidRPr="004C3B41">
                        <w:rPr>
                          <w:rFonts w:cs="Arial"/>
                          <w:sz w:val="17"/>
                          <w:lang w:val="fr-FR"/>
                        </w:rPr>
                        <w:t xml:space="preserve">Une description plus détaillée des facteurs de risque auxquels le </w:t>
                      </w:r>
                      <w:r>
                        <w:rPr>
                          <w:rFonts w:cs="Arial"/>
                          <w:sz w:val="17"/>
                          <w:lang w:val="fr-FR"/>
                        </w:rPr>
                        <w:t xml:space="preserve">Fonds </w:t>
                      </w:r>
                      <w:r w:rsidRPr="004C3B41">
                        <w:rPr>
                          <w:rFonts w:cs="Arial"/>
                          <w:sz w:val="17"/>
                          <w:lang w:val="fr-FR"/>
                        </w:rPr>
                        <w:t xml:space="preserve">est confronté figure </w:t>
                      </w:r>
                      <w:hyperlink r:id="rId12" w:history="1">
                        <w:r w:rsidRPr="009E60FF">
                          <w:rPr>
                            <w:rStyle w:val="Hyperlink"/>
                            <w:rFonts w:cs="Arial"/>
                            <w:sz w:val="17"/>
                            <w:lang w:val="fr-FR"/>
                          </w:rPr>
                          <w:t>dans le prospectus</w:t>
                        </w:r>
                      </w:hyperlink>
                      <w:r w:rsidRPr="004C3B41">
                        <w:rPr>
                          <w:rFonts w:cs="Arial"/>
                          <w:sz w:val="17"/>
                          <w:lang w:val="fr-FR"/>
                        </w:rPr>
                        <w:t xml:space="preserve"> </w:t>
                      </w:r>
                      <w:r>
                        <w:rPr>
                          <w:rFonts w:cs="Arial"/>
                          <w:sz w:val="17"/>
                          <w:lang w:val="fr-FR"/>
                        </w:rPr>
                        <w:t xml:space="preserve">et dans le supplément </w:t>
                      </w:r>
                      <w:r w:rsidRPr="004C3B41">
                        <w:rPr>
                          <w:rFonts w:cs="Arial"/>
                          <w:sz w:val="17"/>
                          <w:lang w:val="fr-FR"/>
                        </w:rPr>
                        <w:t xml:space="preserve">du </w:t>
                      </w:r>
                      <w:r>
                        <w:rPr>
                          <w:rFonts w:cs="Arial"/>
                          <w:sz w:val="17"/>
                          <w:lang w:val="fr-FR"/>
                        </w:rPr>
                        <w:t>Fonds</w:t>
                      </w:r>
                      <w:r w:rsidRPr="00AB14EA">
                        <w:rPr>
                          <w:rFonts w:cs="Arial"/>
                          <w:sz w:val="17"/>
                          <w:lang w:val="fr-FR"/>
                        </w:rPr>
                        <w:t xml:space="preserve">. </w:t>
                      </w:r>
                    </w:p>
                  </w:txbxContent>
                </v:textbox>
              </v:shape>
            </w:pict>
          </mc:Fallback>
        </mc:AlternateContent>
      </w:r>
      <w:r w:rsidR="00520715" w:rsidRPr="00F00EEE">
        <w:rPr>
          <w:noProof/>
          <w:lang w:val="de-DE" w:eastAsia="ja-JP"/>
        </w:rPr>
        <mc:AlternateContent>
          <mc:Choice Requires="wps">
            <w:drawing>
              <wp:anchor distT="0" distB="0" distL="114300" distR="114300" simplePos="0" relativeHeight="251663360" behindDoc="0" locked="0" layoutInCell="1" allowOverlap="1" wp14:anchorId="16C457A2" wp14:editId="6C932D9F">
                <wp:simplePos x="0" y="0"/>
                <wp:positionH relativeFrom="column">
                  <wp:posOffset>-714375</wp:posOffset>
                </wp:positionH>
                <wp:positionV relativeFrom="paragraph">
                  <wp:posOffset>1333500</wp:posOffset>
                </wp:positionV>
                <wp:extent cx="3456305" cy="224155"/>
                <wp:effectExtent l="0" t="0" r="0" b="444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C457A2" id="_x0000_s1033" type="#_x0000_t202" style="position:absolute;margin-left:-56.25pt;margin-top:105pt;width:272.15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khhgIAABc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" stroked="f">
                <v:textbox>
                  <w:txbxContent>
                    <w:p w14:paraId="2FA695FC" w14:textId="77777777" w:rsidR="004016EA" w:rsidRPr="00831DE1" w:rsidRDefault="004016EA" w:rsidP="004173DF">
                      <w:pPr>
                        <w:pStyle w:val="BoldSubHead"/>
                        <w:spacing w:before="0"/>
                        <w:rPr>
                          <w:color w:val="5F5F5F"/>
                          <w:sz w:val="18"/>
                          <w:szCs w:val="18"/>
                        </w:rPr>
                      </w:pPr>
                      <w:r>
                        <w:t>Objectifs et politique d’investissement</w:t>
                      </w:r>
                    </w:p>
                    <w:p w14:paraId="2B5CEB0D" w14:textId="77777777" w:rsidR="004016EA" w:rsidRPr="00831DE1" w:rsidRDefault="004016EA" w:rsidP="005B6E23">
                      <w:pPr>
                        <w:shd w:val="clear" w:color="auto" w:fill="FFFFFF"/>
                        <w:tabs>
                          <w:tab w:val="left" w:pos="163"/>
                        </w:tabs>
                        <w:autoSpaceDE w:val="0"/>
                        <w:autoSpaceDN w:val="0"/>
                        <w:adjustRightInd w:val="0"/>
                        <w:spacing w:line="240" w:lineRule="auto"/>
                        <w:rPr>
                          <w:color w:val="5F5F5F"/>
                          <w:sz w:val="18"/>
                          <w:szCs w:val="18"/>
                        </w:rPr>
                      </w:pPr>
                    </w:p>
                  </w:txbxContent>
                </v:textbox>
              </v:shape>
            </w:pict>
          </mc:Fallback>
        </mc:AlternateContent>
      </w:r>
      <w:r w:rsidR="005D7124" w:rsidRPr="00F00EEE">
        <w:rPr>
          <w:noProof/>
          <w:lang w:val="de-DE" w:eastAsia="ja-JP"/>
        </w:rPr>
        <mc:AlternateContent>
          <mc:Choice Requires="wps">
            <w:drawing>
              <wp:anchor distT="0" distB="0" distL="114300" distR="114300" simplePos="0" relativeHeight="251667456" behindDoc="0" locked="0" layoutInCell="1" allowOverlap="1" wp14:anchorId="6762F49B" wp14:editId="663E0E57">
                <wp:simplePos x="0" y="0"/>
                <wp:positionH relativeFrom="column">
                  <wp:posOffset>-610235</wp:posOffset>
                </wp:positionH>
                <wp:positionV relativeFrom="paragraph">
                  <wp:posOffset>4187190</wp:posOffset>
                </wp:positionV>
                <wp:extent cx="3096260" cy="224155"/>
                <wp:effectExtent l="0" t="0" r="8890" b="444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62F49B" id="_x0000_s1034" type="#_x0000_t202" style="position:absolute;margin-left:-48.05pt;margin-top:329.7pt;width:243.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Mhg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" stroked="f">
                <v:textbox>
                  <w:txbxContent>
                    <w:p w14:paraId="1F55524B" w14:textId="77777777" w:rsidR="004016EA" w:rsidRPr="006F31C1" w:rsidRDefault="004016EA" w:rsidP="004173DF">
                      <w:pPr>
                        <w:pStyle w:val="BoldSubHead"/>
                        <w:spacing w:before="0"/>
                      </w:pPr>
                      <w:r w:rsidRPr="00DD58F1">
                        <w:t>Profil de risque et de rendement</w:t>
                      </w:r>
                    </w:p>
                    <w:p w14:paraId="6B74D446" w14:textId="7379B658" w:rsidR="004016EA" w:rsidRPr="006F31C1" w:rsidRDefault="004016EA" w:rsidP="005B6E23">
                      <w:pPr>
                        <w:pStyle w:val="BoldSubHead"/>
                        <w:spacing w:before="0"/>
                      </w:pPr>
                    </w:p>
                  </w:txbxContent>
                </v:textbox>
              </v:shape>
            </w:pict>
          </mc:Fallback>
        </mc:AlternateContent>
      </w:r>
      <w:r w:rsidR="005D7124" w:rsidRPr="00F00EEE">
        <w:rPr>
          <w:noProof/>
          <w:color w:val="000000"/>
          <w:lang w:val="de-DE" w:eastAsia="ja-JP"/>
        </w:rPr>
        <mc:AlternateContent>
          <mc:Choice Requires="wps">
            <w:drawing>
              <wp:anchor distT="0" distB="0" distL="114300" distR="114300" simplePos="0" relativeHeight="251666432" behindDoc="0" locked="0" layoutInCell="1" allowOverlap="1" wp14:anchorId="1C3FD5D8" wp14:editId="69629D01">
                <wp:simplePos x="0" y="0"/>
                <wp:positionH relativeFrom="margin">
                  <wp:posOffset>-568960</wp:posOffset>
                </wp:positionH>
                <wp:positionV relativeFrom="paragraph">
                  <wp:posOffset>4108450</wp:posOffset>
                </wp:positionV>
                <wp:extent cx="6696075" cy="8890"/>
                <wp:effectExtent l="0" t="0" r="28575" b="29210"/>
                <wp:wrapNone/>
                <wp:docPr id="23"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8890"/>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03B3" id="AutoShape 101" o:spid="_x0000_s1026" type="#_x0000_t32" style="position:absolute;margin-left:-44.8pt;margin-top:323.5pt;width:527.25pt;height:.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" strokecolor="#006747">
                <w10:wrap anchorx="margin"/>
              </v:shape>
            </w:pict>
          </mc:Fallback>
        </mc:AlternateContent>
      </w:r>
      <w:r w:rsidR="005B6E23" w:rsidRPr="00F00EEE">
        <w:rPr>
          <w:noProof/>
          <w:lang w:val="de-DE" w:eastAsia="ja-JP"/>
        </w:rPr>
        <mc:AlternateContent>
          <mc:Choice Requires="wps">
            <w:drawing>
              <wp:anchor distT="0" distB="0" distL="114300" distR="114300" simplePos="0" relativeHeight="251672576" behindDoc="0" locked="0" layoutInCell="1" allowOverlap="1" wp14:anchorId="43BF8B85" wp14:editId="26583ACB">
                <wp:simplePos x="0" y="0"/>
                <wp:positionH relativeFrom="column">
                  <wp:posOffset>0</wp:posOffset>
                </wp:positionH>
                <wp:positionV relativeFrom="paragraph">
                  <wp:posOffset>10219690</wp:posOffset>
                </wp:positionV>
                <wp:extent cx="3096260" cy="224155"/>
                <wp:effectExtent l="0" t="0" r="889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BF8B85" id="_x0000_s1035" type="#_x0000_t202" style="position:absolute;margin-left:0;margin-top:804.7pt;width:243.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" stroked="f">
                <v:textbox>
                  <w:txbxContent>
                    <w:p w14:paraId="7BC00B6A" w14:textId="77777777"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Charges for this Fund</w:t>
                      </w:r>
                    </w:p>
                  </w:txbxContent>
                </v:textbox>
              </v:shape>
            </w:pict>
          </mc:Fallback>
        </mc:AlternateContent>
      </w:r>
      <w:r w:rsidR="005B6E23" w:rsidRPr="00F00EEE">
        <w:rPr>
          <w:lang w:val="fr-FR"/>
        </w:rPr>
        <w:br w:type="page"/>
      </w:r>
    </w:p>
    <w:p w14:paraId="1182EDA0" w14:textId="44AD781A" w:rsidR="005B6E23" w:rsidRPr="00F00EEE" w:rsidRDefault="009573E1">
      <w:pPr>
        <w:widowControl/>
        <w:spacing w:after="160" w:line="259" w:lineRule="auto"/>
        <w:jc w:val="left"/>
        <w:rPr>
          <w:lang w:val="fr-FR"/>
        </w:rPr>
      </w:pPr>
      <w:r w:rsidRPr="00F00EEE">
        <w:rPr>
          <w:noProof/>
          <w:lang w:val="de-DE" w:eastAsia="ja-JP"/>
        </w:rPr>
        <w:lastRenderedPageBreak/>
        <mc:AlternateContent>
          <mc:Choice Requires="wps">
            <w:drawing>
              <wp:anchor distT="0" distB="0" distL="114300" distR="114300" simplePos="0" relativeHeight="251676672" behindDoc="0" locked="0" layoutInCell="1" allowOverlap="1" wp14:anchorId="5F4798A8" wp14:editId="167E889A">
                <wp:simplePos x="0" y="0"/>
                <wp:positionH relativeFrom="column">
                  <wp:posOffset>2981325</wp:posOffset>
                </wp:positionH>
                <wp:positionV relativeFrom="paragraph">
                  <wp:posOffset>-400050</wp:posOffset>
                </wp:positionV>
                <wp:extent cx="3383915" cy="2867025"/>
                <wp:effectExtent l="0" t="0" r="26035" b="28575"/>
                <wp:wrapNone/>
                <wp:docPr id="1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915" cy="2867025"/>
                        </a:xfrm>
                        <a:prstGeom prst="rect">
                          <a:avLst/>
                        </a:prstGeom>
                        <a:noFill/>
                        <a:ln w="9525">
                          <a:solidFill>
                            <a:srgbClr val="006747"/>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3EED81A3" w:rsidR="004016EA" w:rsidRPr="003206E5" w:rsidRDefault="00F74342" w:rsidP="004173DF">
                                  <w:pPr>
                                    <w:pStyle w:val="KIIDtext1"/>
                                    <w:autoSpaceDE w:val="0"/>
                                    <w:autoSpaceDN w:val="0"/>
                                    <w:adjustRightInd w:val="0"/>
                                    <w:spacing w:line="200" w:lineRule="exact"/>
                                    <w:rPr>
                                      <w:rFonts w:cs="Arial"/>
                                      <w:b/>
                                      <w:sz w:val="16"/>
                                      <w:szCs w:val="16"/>
                                    </w:rPr>
                                  </w:pPr>
                                  <w:r>
                                    <w:rPr>
                                      <w:rFonts w:cs="Arial"/>
                                      <w:sz w:val="16"/>
                                      <w:szCs w:val="16"/>
                                      <w:lang w:val="fr-FR"/>
                                    </w:rPr>
                                    <w:t>1,9</w:t>
                                  </w:r>
                                  <w:r w:rsidR="004016EA">
                                    <w:rPr>
                                      <w:rFonts w:cs="Arial"/>
                                      <w:sz w:val="16"/>
                                      <w:szCs w:val="16"/>
                                      <w:lang w:val="fr-FR"/>
                                    </w:rPr>
                                    <w:t>3</w:t>
                                  </w:r>
                                  <w:r w:rsidR="004016EA"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4A73AF">
                                  <w:pPr>
                                    <w:pStyle w:val="KIIDtext1"/>
                                    <w:autoSpaceDE w:val="0"/>
                                    <w:autoSpaceDN w:val="0"/>
                                    <w:adjustRightInd w:val="0"/>
                                    <w:spacing w:after="4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7FE4C97D" w:rsidR="004016EA" w:rsidRPr="00500CF0" w:rsidRDefault="004016EA" w:rsidP="00F74342">
                                  <w:pPr>
                                    <w:spacing w:line="240" w:lineRule="auto"/>
                                    <w:rPr>
                                      <w:color w:val="A6A6A6"/>
                                      <w:lang w:val="fr-FR"/>
                                    </w:rPr>
                                  </w:pPr>
                                  <w:r w:rsidRPr="006B088E">
                                    <w:rPr>
                                      <w:rFonts w:cs="Arial"/>
                                      <w:color w:val="5F5F5F"/>
                                      <w:sz w:val="12"/>
                                      <w:szCs w:val="16"/>
                                      <w:lang w:val="fr-FR"/>
                                    </w:rPr>
                                    <w:t>Hurdle: SONIA GBP</w:t>
                                  </w:r>
                                  <w:r w:rsidR="00F74342">
                                    <w:rPr>
                                      <w:rFonts w:cs="Arial"/>
                                      <w:color w:val="5F5F5F"/>
                                      <w:sz w:val="12"/>
                                      <w:szCs w:val="16"/>
                                      <w:lang w:val="fr-FR"/>
                                    </w:rPr>
                                    <w:t xml:space="preserve"> pour les actions de catégorie E2</w:t>
                                  </w:r>
                                  <w:r w:rsidRPr="006B088E">
                                    <w:rPr>
                                      <w:rFonts w:cs="Arial"/>
                                      <w:color w:val="5F5F5F"/>
                                      <w:sz w:val="12"/>
                                      <w:szCs w:val="16"/>
                                      <w:lang w:val="fr-FR"/>
                                    </w:rPr>
                                    <w:t xml:space="preserve"> GBP,</w:t>
                                  </w:r>
                                  <w:r w:rsidR="00564EB3" w:rsidRPr="006B088E">
                                    <w:rPr>
                                      <w:rFonts w:cs="Arial"/>
                                      <w:color w:val="5F5F5F"/>
                                      <w:sz w:val="12"/>
                                      <w:szCs w:val="16"/>
                                      <w:lang w:val="fr-FR"/>
                                    </w:rPr>
                                    <w:t xml:space="preserve"> </w:t>
                                  </w:r>
                                  <w:r w:rsidRPr="006B088E">
                                    <w:rPr>
                                      <w:rFonts w:cs="Arial"/>
                                      <w:color w:val="5F5F5F"/>
                                      <w:sz w:val="12"/>
                                      <w:szCs w:val="16"/>
                                      <w:lang w:val="fr-FR"/>
                                    </w:rPr>
                                    <w:t>Euro Short Term Rate</w:t>
                                  </w:r>
                                  <w:r w:rsidR="00F74342">
                                    <w:rPr>
                                      <w:rFonts w:cs="Arial"/>
                                      <w:color w:val="5F5F5F"/>
                                      <w:sz w:val="12"/>
                                      <w:szCs w:val="16"/>
                                      <w:lang w:val="fr-FR"/>
                                    </w:rPr>
                                    <w:t xml:space="preserve"> pour les actions de catégorie E2</w:t>
                                  </w:r>
                                  <w:r w:rsidRPr="006B088E">
                                    <w:rPr>
                                      <w:rFonts w:cs="Arial"/>
                                      <w:color w:val="5F5F5F"/>
                                      <w:sz w:val="12"/>
                                      <w:szCs w:val="16"/>
                                      <w:lang w:val="fr-FR"/>
                                    </w:rPr>
                                    <w:t xml:space="preserve"> EUR, et US LIBOR 9</w:t>
                                  </w:r>
                                  <w:r w:rsidR="00564EB3" w:rsidRPr="006B088E">
                                    <w:rPr>
                                      <w:rFonts w:cs="Arial"/>
                                      <w:color w:val="5F5F5F"/>
                                      <w:sz w:val="12"/>
                                      <w:szCs w:val="16"/>
                                      <w:lang w:val="fr-FR"/>
                                    </w:rPr>
                                    <w:t>0</w:t>
                                  </w:r>
                                  <w:r w:rsidRPr="006B088E">
                                    <w:rPr>
                                      <w:rFonts w:cs="Arial"/>
                                      <w:color w:val="5F5F5F"/>
                                      <w:sz w:val="12"/>
                                      <w:szCs w:val="16"/>
                                      <w:lang w:val="fr-FR"/>
                                    </w:rPr>
                                    <w:t xml:space="preserve"> jours</w:t>
                                  </w:r>
                                  <w:r w:rsidR="00F74342">
                                    <w:rPr>
                                      <w:rFonts w:cs="Arial"/>
                                      <w:color w:val="5F5F5F"/>
                                      <w:sz w:val="12"/>
                                      <w:szCs w:val="16"/>
                                      <w:lang w:val="fr-FR"/>
                                    </w:rPr>
                                    <w:t xml:space="preserve"> pour les actions de catégorie E2</w:t>
                                  </w:r>
                                  <w:r w:rsidRPr="006B088E">
                                    <w:rPr>
                                      <w:rFonts w:cs="Arial"/>
                                      <w:color w:val="5F5F5F"/>
                                      <w:sz w:val="12"/>
                                      <w:szCs w:val="16"/>
                                      <w:lang w:val="fr-FR"/>
                                    </w:rPr>
                                    <w:t xml:space="preserve"> USD.</w:t>
                                  </w:r>
                                </w:p>
                              </w:tc>
                            </w:tr>
                          </w:tbl>
                          <w:p w14:paraId="105E0EE4" w14:textId="6230ABBE"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9E795F">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798A8" id="Rectangle 132" o:spid="_x0000_s1036" style="position:absolute;margin-left:234.75pt;margin-top:-31.5pt;width:266.45pt;height:22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" filled="f" strokecolor="#006747">
                <v:textbox>
                  <w:txbxContent>
                    <w:tbl>
                      <w:tblPr>
                        <w:tblW w:w="5045" w:type="dxa"/>
                        <w:tblCellMar>
                          <w:top w:w="28" w:type="dxa"/>
                        </w:tblCellMar>
                        <w:tblLook w:val="04A0" w:firstRow="1" w:lastRow="0" w:firstColumn="1" w:lastColumn="0" w:noHBand="0" w:noVBand="1"/>
                      </w:tblPr>
                      <w:tblGrid>
                        <w:gridCol w:w="1587"/>
                        <w:gridCol w:w="737"/>
                        <w:gridCol w:w="102"/>
                        <w:gridCol w:w="295"/>
                        <w:gridCol w:w="1587"/>
                        <w:gridCol w:w="737"/>
                      </w:tblGrid>
                      <w:tr w:rsidR="004016EA" w14:paraId="3ACABF2B" w14:textId="77777777" w:rsidTr="00547654">
                        <w:trPr>
                          <w:trHeight w:val="283"/>
                        </w:trPr>
                        <w:tc>
                          <w:tcPr>
                            <w:tcW w:w="5045" w:type="dxa"/>
                            <w:gridSpan w:val="6"/>
                            <w:shd w:val="clear" w:color="auto" w:fill="006747"/>
                          </w:tcPr>
                          <w:p w14:paraId="059185E8" w14:textId="01626A02" w:rsidR="004016EA" w:rsidRPr="006F31C1" w:rsidRDefault="004016EA" w:rsidP="00547654">
                            <w:pPr>
                              <w:tabs>
                                <w:tab w:val="left" w:pos="264"/>
                              </w:tabs>
                              <w:autoSpaceDE w:val="0"/>
                              <w:autoSpaceDN w:val="0"/>
                              <w:adjustRightInd w:val="0"/>
                              <w:spacing w:line="200" w:lineRule="exact"/>
                              <w:jc w:val="left"/>
                              <w:rPr>
                                <w:rFonts w:cs="Arial"/>
                                <w:b/>
                                <w:color w:val="FFFFFF"/>
                                <w:sz w:val="16"/>
                                <w:szCs w:val="16"/>
                                <w:lang w:val="en-US"/>
                              </w:rPr>
                            </w:pPr>
                            <w:r w:rsidRPr="001D4D66">
                              <w:rPr>
                                <w:rFonts w:cs="Arial"/>
                                <w:b/>
                                <w:color w:val="FFFFFF"/>
                                <w:sz w:val="16"/>
                                <w:szCs w:val="16"/>
                                <w:lang w:val="fr-FR"/>
                              </w:rPr>
                              <w:t>Frais ponctuels prélevés avant ou après investissement</w:t>
                            </w:r>
                          </w:p>
                        </w:tc>
                      </w:tr>
                      <w:tr w:rsidR="004016EA" w14:paraId="07282F6D" w14:textId="77777777" w:rsidTr="00547654">
                        <w:tc>
                          <w:tcPr>
                            <w:tcW w:w="1587" w:type="dxa"/>
                            <w:tcBorders>
                              <w:bottom w:val="single" w:sz="8" w:space="0" w:color="CCE1DA"/>
                            </w:tcBorders>
                            <w:shd w:val="clear" w:color="auto" w:fill="CCE1DA"/>
                          </w:tcPr>
                          <w:p w14:paraId="0F149CB5" w14:textId="59030C70"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d’entrée</w:t>
                            </w:r>
                          </w:p>
                        </w:tc>
                        <w:tc>
                          <w:tcPr>
                            <w:tcW w:w="737" w:type="dxa"/>
                            <w:tcBorders>
                              <w:bottom w:val="single" w:sz="8" w:space="0" w:color="CCE1DA"/>
                              <w:right w:val="single" w:sz="8" w:space="0" w:color="CCE1DA"/>
                            </w:tcBorders>
                            <w:shd w:val="clear" w:color="auto" w:fill="auto"/>
                          </w:tcPr>
                          <w:p w14:paraId="24CC7531" w14:textId="718D7A15"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c>
                          <w:tcPr>
                            <w:tcW w:w="397" w:type="dxa"/>
                            <w:gridSpan w:val="2"/>
                            <w:tcBorders>
                              <w:left w:val="single" w:sz="8" w:space="0" w:color="CCE1DA"/>
                            </w:tcBorders>
                            <w:shd w:val="clear" w:color="auto" w:fill="FFFFFF"/>
                          </w:tcPr>
                          <w:p w14:paraId="52B89D6F" w14:textId="77777777" w:rsidR="004016EA" w:rsidRPr="006F31C1" w:rsidRDefault="004016EA" w:rsidP="004173DF">
                            <w:pPr>
                              <w:pStyle w:val="KIIDtext1"/>
                              <w:autoSpaceDE w:val="0"/>
                              <w:autoSpaceDN w:val="0"/>
                              <w:adjustRightInd w:val="0"/>
                              <w:spacing w:line="200" w:lineRule="exact"/>
                              <w:rPr>
                                <w:rFonts w:cs="Arial"/>
                                <w:sz w:val="16"/>
                                <w:szCs w:val="16"/>
                              </w:rPr>
                            </w:pPr>
                          </w:p>
                        </w:tc>
                        <w:tc>
                          <w:tcPr>
                            <w:tcW w:w="1587" w:type="dxa"/>
                            <w:tcBorders>
                              <w:bottom w:val="single" w:sz="8" w:space="0" w:color="CCE1DA"/>
                            </w:tcBorders>
                            <w:shd w:val="clear" w:color="auto" w:fill="CCE1DA"/>
                          </w:tcPr>
                          <w:p w14:paraId="0F7C93DA" w14:textId="7752D0AD"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b/>
                                <w:color w:val="006747"/>
                                <w:sz w:val="16"/>
                                <w:szCs w:val="16"/>
                                <w:lang w:val="fr-FR"/>
                              </w:rPr>
                              <w:t>Frais de sortie</w:t>
                            </w:r>
                          </w:p>
                        </w:tc>
                        <w:tc>
                          <w:tcPr>
                            <w:tcW w:w="737" w:type="dxa"/>
                            <w:tcBorders>
                              <w:bottom w:val="single" w:sz="8" w:space="0" w:color="CCE1DA"/>
                              <w:right w:val="single" w:sz="8" w:space="0" w:color="CCE1DA"/>
                            </w:tcBorders>
                            <w:shd w:val="clear" w:color="auto" w:fill="auto"/>
                          </w:tcPr>
                          <w:p w14:paraId="3940D495" w14:textId="422FD678" w:rsidR="004016EA" w:rsidRPr="006F31C1" w:rsidRDefault="004016EA" w:rsidP="004173DF">
                            <w:pPr>
                              <w:pStyle w:val="KIIDtext1"/>
                              <w:autoSpaceDE w:val="0"/>
                              <w:autoSpaceDN w:val="0"/>
                              <w:adjustRightInd w:val="0"/>
                              <w:spacing w:line="200" w:lineRule="exact"/>
                              <w:rPr>
                                <w:rFonts w:cs="Arial"/>
                                <w:sz w:val="16"/>
                                <w:szCs w:val="16"/>
                              </w:rPr>
                            </w:pPr>
                            <w:r w:rsidRPr="001D4D66">
                              <w:rPr>
                                <w:rFonts w:cs="Arial"/>
                                <w:sz w:val="16"/>
                                <w:szCs w:val="16"/>
                                <w:lang w:val="fr-FR"/>
                              </w:rPr>
                              <w:t>Aucun</w:t>
                            </w:r>
                          </w:p>
                        </w:tc>
                      </w:tr>
                      <w:tr w:rsidR="004016EA" w14:paraId="1BF5D050" w14:textId="77777777" w:rsidTr="00547654">
                        <w:tc>
                          <w:tcPr>
                            <w:tcW w:w="5045" w:type="dxa"/>
                            <w:gridSpan w:val="6"/>
                            <w:shd w:val="clear" w:color="auto" w:fill="auto"/>
                          </w:tcPr>
                          <w:p w14:paraId="2BB00D2A" w14:textId="3A453542" w:rsidR="004016EA" w:rsidRPr="006F31C1" w:rsidRDefault="004016EA" w:rsidP="00547654">
                            <w:pPr>
                              <w:pStyle w:val="KIIDtext1"/>
                              <w:autoSpaceDE w:val="0"/>
                              <w:autoSpaceDN w:val="0"/>
                              <w:adjustRightInd w:val="0"/>
                              <w:spacing w:after="180" w:line="200" w:lineRule="exact"/>
                              <w:rPr>
                                <w:rFonts w:cs="Arial"/>
                                <w:sz w:val="16"/>
                                <w:szCs w:val="16"/>
                              </w:rPr>
                            </w:pPr>
                            <w:r w:rsidRPr="001D4D66">
                              <w:rPr>
                                <w:rFonts w:cs="Arial"/>
                                <w:sz w:val="16"/>
                                <w:szCs w:val="16"/>
                                <w:lang w:val="fr-FR"/>
                              </w:rPr>
                              <w:t>Le pourcentage indiqué est le maximum pouvant être prélevé sur votre capital avant qu’il ne soit investi.</w:t>
                            </w:r>
                          </w:p>
                        </w:tc>
                      </w:tr>
                      <w:tr w:rsidR="004016EA" w14:paraId="3DE3479F" w14:textId="77777777" w:rsidTr="00547654">
                        <w:trPr>
                          <w:trHeight w:val="283"/>
                        </w:trPr>
                        <w:tc>
                          <w:tcPr>
                            <w:tcW w:w="5045" w:type="dxa"/>
                            <w:gridSpan w:val="6"/>
                            <w:shd w:val="clear" w:color="auto" w:fill="006747"/>
                          </w:tcPr>
                          <w:p w14:paraId="40454E8D" w14:textId="3A12CB66" w:rsidR="004016EA" w:rsidRPr="006F31C1" w:rsidRDefault="004016EA" w:rsidP="00547654">
                            <w:pPr>
                              <w:pStyle w:val="KIIDtext1"/>
                              <w:autoSpaceDE w:val="0"/>
                              <w:autoSpaceDN w:val="0"/>
                              <w:adjustRightInd w:val="0"/>
                              <w:spacing w:after="0" w:line="200" w:lineRule="exact"/>
                              <w:rPr>
                                <w:rFonts w:cs="Arial"/>
                                <w:b/>
                                <w:color w:val="FFFFFF"/>
                                <w:sz w:val="16"/>
                                <w:szCs w:val="16"/>
                              </w:rPr>
                            </w:pPr>
                            <w:r w:rsidRPr="001D4D66">
                              <w:rPr>
                                <w:rFonts w:cs="Arial"/>
                                <w:b/>
                                <w:color w:val="FFFFFF"/>
                                <w:sz w:val="16"/>
                                <w:szCs w:val="16"/>
                                <w:lang w:val="fr-FR"/>
                              </w:rPr>
                              <w:t>Frais prélevés par le fonds sur une année</w:t>
                            </w:r>
                          </w:p>
                        </w:tc>
                      </w:tr>
                      <w:tr w:rsidR="004016EA" w14:paraId="1392D75E" w14:textId="77777777" w:rsidTr="00547654">
                        <w:tc>
                          <w:tcPr>
                            <w:tcW w:w="2426" w:type="dxa"/>
                            <w:gridSpan w:val="3"/>
                            <w:tcBorders>
                              <w:bottom w:val="single" w:sz="8" w:space="0" w:color="CCE1DA"/>
                            </w:tcBorders>
                            <w:shd w:val="clear" w:color="auto" w:fill="CCE1DA"/>
                          </w:tcPr>
                          <w:p w14:paraId="533F74C7" w14:textId="65500677" w:rsidR="004016EA" w:rsidRPr="006F31C1" w:rsidRDefault="004016EA" w:rsidP="004173DF">
                            <w:pPr>
                              <w:pStyle w:val="KIIDtext1"/>
                              <w:autoSpaceDE w:val="0"/>
                              <w:autoSpaceDN w:val="0"/>
                              <w:adjustRightInd w:val="0"/>
                              <w:spacing w:line="200" w:lineRule="exact"/>
                              <w:rPr>
                                <w:rFonts w:cs="Arial"/>
                                <w:color w:val="006747"/>
                                <w:sz w:val="16"/>
                                <w:szCs w:val="16"/>
                              </w:rPr>
                            </w:pPr>
                            <w:r w:rsidRPr="001D4D66">
                              <w:rPr>
                                <w:rFonts w:cs="Arial"/>
                                <w:b/>
                                <w:color w:val="006747"/>
                                <w:sz w:val="16"/>
                                <w:szCs w:val="16"/>
                                <w:lang w:val="fr-FR"/>
                              </w:rPr>
                              <w:t>Frais courants</w:t>
                            </w:r>
                          </w:p>
                        </w:tc>
                        <w:tc>
                          <w:tcPr>
                            <w:tcW w:w="2619" w:type="dxa"/>
                            <w:gridSpan w:val="3"/>
                            <w:tcBorders>
                              <w:bottom w:val="single" w:sz="8" w:space="0" w:color="CCE1DA"/>
                              <w:right w:val="single" w:sz="8" w:space="0" w:color="CCE1DA"/>
                            </w:tcBorders>
                            <w:shd w:val="clear" w:color="auto" w:fill="auto"/>
                          </w:tcPr>
                          <w:p w14:paraId="446FE436" w14:textId="3EED81A3" w:rsidR="004016EA" w:rsidRPr="003206E5" w:rsidRDefault="00F74342" w:rsidP="004173DF">
                            <w:pPr>
                              <w:pStyle w:val="KIIDtext1"/>
                              <w:autoSpaceDE w:val="0"/>
                              <w:autoSpaceDN w:val="0"/>
                              <w:adjustRightInd w:val="0"/>
                              <w:spacing w:line="200" w:lineRule="exact"/>
                              <w:rPr>
                                <w:rFonts w:cs="Arial"/>
                                <w:b/>
                                <w:sz w:val="16"/>
                                <w:szCs w:val="16"/>
                              </w:rPr>
                            </w:pPr>
                            <w:r>
                              <w:rPr>
                                <w:rFonts w:cs="Arial"/>
                                <w:sz w:val="16"/>
                                <w:szCs w:val="16"/>
                                <w:lang w:val="fr-FR"/>
                              </w:rPr>
                              <w:t>1,9</w:t>
                            </w:r>
                            <w:r w:rsidR="004016EA">
                              <w:rPr>
                                <w:rFonts w:cs="Arial"/>
                                <w:sz w:val="16"/>
                                <w:szCs w:val="16"/>
                                <w:lang w:val="fr-FR"/>
                              </w:rPr>
                              <w:t>3</w:t>
                            </w:r>
                            <w:r w:rsidR="004016EA" w:rsidRPr="001D4D66">
                              <w:rPr>
                                <w:rFonts w:cs="Arial"/>
                                <w:sz w:val="16"/>
                                <w:szCs w:val="16"/>
                                <w:lang w:val="fr-FR"/>
                              </w:rPr>
                              <w:t xml:space="preserve"> %</w:t>
                            </w:r>
                          </w:p>
                        </w:tc>
                      </w:tr>
                      <w:tr w:rsidR="004016EA" w14:paraId="473D24F6" w14:textId="77777777" w:rsidTr="00547654">
                        <w:trPr>
                          <w:trHeight w:val="283"/>
                        </w:trPr>
                        <w:tc>
                          <w:tcPr>
                            <w:tcW w:w="5045" w:type="dxa"/>
                            <w:gridSpan w:val="6"/>
                            <w:shd w:val="clear" w:color="auto" w:fill="006747"/>
                          </w:tcPr>
                          <w:p w14:paraId="39E2A768" w14:textId="68131558" w:rsidR="004016EA" w:rsidRPr="006F31C1" w:rsidRDefault="004016EA" w:rsidP="00547654">
                            <w:pPr>
                              <w:pStyle w:val="KIIDtext1"/>
                              <w:autoSpaceDE w:val="0"/>
                              <w:autoSpaceDN w:val="0"/>
                              <w:adjustRightInd w:val="0"/>
                              <w:spacing w:after="0" w:line="200" w:lineRule="exact"/>
                              <w:rPr>
                                <w:rFonts w:cs="Arial"/>
                                <w:b/>
                                <w:color w:val="FFFFFF"/>
                                <w:spacing w:val="-2"/>
                                <w:sz w:val="16"/>
                                <w:szCs w:val="16"/>
                              </w:rPr>
                            </w:pPr>
                            <w:r w:rsidRPr="001D4D66">
                              <w:rPr>
                                <w:rFonts w:cs="Arial"/>
                                <w:b/>
                                <w:bCs/>
                                <w:color w:val="FFFFFF"/>
                                <w:sz w:val="16"/>
                                <w:szCs w:val="16"/>
                                <w:lang w:val="fr-FR"/>
                              </w:rPr>
                              <w:t>Frais prélevés par le fonds dans certaines circonstances</w:t>
                            </w:r>
                          </w:p>
                        </w:tc>
                      </w:tr>
                      <w:tr w:rsidR="004016EA" w14:paraId="235B34B0" w14:textId="77777777" w:rsidTr="00547654">
                        <w:tc>
                          <w:tcPr>
                            <w:tcW w:w="2426" w:type="dxa"/>
                            <w:gridSpan w:val="3"/>
                            <w:tcBorders>
                              <w:bottom w:val="single" w:sz="8" w:space="0" w:color="CCE1DA"/>
                            </w:tcBorders>
                            <w:shd w:val="clear" w:color="auto" w:fill="CCE1DA"/>
                            <w:vAlign w:val="center"/>
                          </w:tcPr>
                          <w:p w14:paraId="0FBFC597" w14:textId="0234C445" w:rsidR="004016EA" w:rsidRPr="006F31C1" w:rsidRDefault="004016EA" w:rsidP="00547654">
                            <w:pPr>
                              <w:pStyle w:val="KIIDtext1"/>
                              <w:autoSpaceDE w:val="0"/>
                              <w:autoSpaceDN w:val="0"/>
                              <w:adjustRightInd w:val="0"/>
                              <w:rPr>
                                <w:rFonts w:cs="Arial"/>
                                <w:b/>
                                <w:color w:val="006747"/>
                                <w:sz w:val="16"/>
                                <w:szCs w:val="16"/>
                                <w:lang w:val="en-US"/>
                              </w:rPr>
                            </w:pPr>
                            <w:r w:rsidRPr="001D4D66">
                              <w:rPr>
                                <w:rFonts w:cs="Arial"/>
                                <w:b/>
                                <w:bCs/>
                                <w:color w:val="006747"/>
                                <w:sz w:val="16"/>
                                <w:szCs w:val="16"/>
                                <w:lang w:val="fr-FR"/>
                              </w:rPr>
                              <w:t>Commission de performance</w:t>
                            </w:r>
                          </w:p>
                        </w:tc>
                        <w:tc>
                          <w:tcPr>
                            <w:tcW w:w="2619" w:type="dxa"/>
                            <w:gridSpan w:val="3"/>
                            <w:tcBorders>
                              <w:bottom w:val="single" w:sz="8" w:space="0" w:color="CCE1DA"/>
                              <w:right w:val="single" w:sz="8" w:space="0" w:color="CCE1DA"/>
                            </w:tcBorders>
                            <w:shd w:val="clear" w:color="auto" w:fill="auto"/>
                            <w:vAlign w:val="center"/>
                          </w:tcPr>
                          <w:p w14:paraId="5BB6228D" w14:textId="7EBAC2C5" w:rsidR="004016EA" w:rsidRPr="006B088E" w:rsidRDefault="004016EA" w:rsidP="004A73AF">
                            <w:pPr>
                              <w:pStyle w:val="KIIDtext1"/>
                              <w:autoSpaceDE w:val="0"/>
                              <w:autoSpaceDN w:val="0"/>
                              <w:adjustRightInd w:val="0"/>
                              <w:spacing w:after="40" w:line="200" w:lineRule="exact"/>
                              <w:rPr>
                                <w:rFonts w:cs="Arial"/>
                                <w:sz w:val="16"/>
                                <w:szCs w:val="16"/>
                                <w:lang w:val="fr-FR"/>
                              </w:rPr>
                            </w:pPr>
                            <w:r w:rsidRPr="006B088E">
                              <w:rPr>
                                <w:rFonts w:cs="Arial"/>
                                <w:sz w:val="16"/>
                                <w:szCs w:val="16"/>
                                <w:lang w:val="fr-FR"/>
                              </w:rPr>
                              <w:t>10% sur le « high-water mark » / taux de rendement minimal (« hurdle »)</w:t>
                            </w:r>
                            <w:r w:rsidRPr="006B088E">
                              <w:rPr>
                                <w:rFonts w:cs="Arial"/>
                                <w:sz w:val="16"/>
                                <w:szCs w:val="16"/>
                                <w:lang w:val="fr-FR"/>
                              </w:rPr>
                              <w:cr/>
                            </w:r>
                          </w:p>
                          <w:p w14:paraId="4B0BEBA0" w14:textId="7FE4C97D" w:rsidR="004016EA" w:rsidRPr="00500CF0" w:rsidRDefault="004016EA" w:rsidP="00F74342">
                            <w:pPr>
                              <w:spacing w:line="240" w:lineRule="auto"/>
                              <w:rPr>
                                <w:color w:val="A6A6A6"/>
                                <w:lang w:val="fr-FR"/>
                              </w:rPr>
                            </w:pPr>
                            <w:r w:rsidRPr="006B088E">
                              <w:rPr>
                                <w:rFonts w:cs="Arial"/>
                                <w:color w:val="5F5F5F"/>
                                <w:sz w:val="12"/>
                                <w:szCs w:val="16"/>
                                <w:lang w:val="fr-FR"/>
                              </w:rPr>
                              <w:t>Hurdle: SONIA GBP</w:t>
                            </w:r>
                            <w:r w:rsidR="00F74342">
                              <w:rPr>
                                <w:rFonts w:cs="Arial"/>
                                <w:color w:val="5F5F5F"/>
                                <w:sz w:val="12"/>
                                <w:szCs w:val="16"/>
                                <w:lang w:val="fr-FR"/>
                              </w:rPr>
                              <w:t xml:space="preserve"> pour les actions de catégorie E2</w:t>
                            </w:r>
                            <w:r w:rsidRPr="006B088E">
                              <w:rPr>
                                <w:rFonts w:cs="Arial"/>
                                <w:color w:val="5F5F5F"/>
                                <w:sz w:val="12"/>
                                <w:szCs w:val="16"/>
                                <w:lang w:val="fr-FR"/>
                              </w:rPr>
                              <w:t xml:space="preserve"> GBP,</w:t>
                            </w:r>
                            <w:r w:rsidR="00564EB3" w:rsidRPr="006B088E">
                              <w:rPr>
                                <w:rFonts w:cs="Arial"/>
                                <w:color w:val="5F5F5F"/>
                                <w:sz w:val="12"/>
                                <w:szCs w:val="16"/>
                                <w:lang w:val="fr-FR"/>
                              </w:rPr>
                              <w:t xml:space="preserve"> </w:t>
                            </w:r>
                            <w:r w:rsidRPr="006B088E">
                              <w:rPr>
                                <w:rFonts w:cs="Arial"/>
                                <w:color w:val="5F5F5F"/>
                                <w:sz w:val="12"/>
                                <w:szCs w:val="16"/>
                                <w:lang w:val="fr-FR"/>
                              </w:rPr>
                              <w:t>Euro Short Term Rate</w:t>
                            </w:r>
                            <w:r w:rsidR="00F74342">
                              <w:rPr>
                                <w:rFonts w:cs="Arial"/>
                                <w:color w:val="5F5F5F"/>
                                <w:sz w:val="12"/>
                                <w:szCs w:val="16"/>
                                <w:lang w:val="fr-FR"/>
                              </w:rPr>
                              <w:t xml:space="preserve"> pour les actions de catégorie E2</w:t>
                            </w:r>
                            <w:r w:rsidRPr="006B088E">
                              <w:rPr>
                                <w:rFonts w:cs="Arial"/>
                                <w:color w:val="5F5F5F"/>
                                <w:sz w:val="12"/>
                                <w:szCs w:val="16"/>
                                <w:lang w:val="fr-FR"/>
                              </w:rPr>
                              <w:t xml:space="preserve"> EUR, et US LIBOR 9</w:t>
                            </w:r>
                            <w:r w:rsidR="00564EB3" w:rsidRPr="006B088E">
                              <w:rPr>
                                <w:rFonts w:cs="Arial"/>
                                <w:color w:val="5F5F5F"/>
                                <w:sz w:val="12"/>
                                <w:szCs w:val="16"/>
                                <w:lang w:val="fr-FR"/>
                              </w:rPr>
                              <w:t>0</w:t>
                            </w:r>
                            <w:r w:rsidRPr="006B088E">
                              <w:rPr>
                                <w:rFonts w:cs="Arial"/>
                                <w:color w:val="5F5F5F"/>
                                <w:sz w:val="12"/>
                                <w:szCs w:val="16"/>
                                <w:lang w:val="fr-FR"/>
                              </w:rPr>
                              <w:t xml:space="preserve"> jours</w:t>
                            </w:r>
                            <w:r w:rsidR="00F74342">
                              <w:rPr>
                                <w:rFonts w:cs="Arial"/>
                                <w:color w:val="5F5F5F"/>
                                <w:sz w:val="12"/>
                                <w:szCs w:val="16"/>
                                <w:lang w:val="fr-FR"/>
                              </w:rPr>
                              <w:t xml:space="preserve"> pour les actions de catégorie E2</w:t>
                            </w:r>
                            <w:r w:rsidRPr="006B088E">
                              <w:rPr>
                                <w:rFonts w:cs="Arial"/>
                                <w:color w:val="5F5F5F"/>
                                <w:sz w:val="12"/>
                                <w:szCs w:val="16"/>
                                <w:lang w:val="fr-FR"/>
                              </w:rPr>
                              <w:t xml:space="preserve"> USD.</w:t>
                            </w:r>
                          </w:p>
                        </w:tc>
                      </w:tr>
                    </w:tbl>
                    <w:p w14:paraId="105E0EE4" w14:textId="6230ABBE" w:rsidR="004016EA" w:rsidRPr="001D4D66" w:rsidRDefault="004016EA" w:rsidP="006B088E">
                      <w:pPr>
                        <w:spacing w:before="40" w:after="180" w:line="235" w:lineRule="auto"/>
                        <w:ind w:right="62"/>
                        <w:rPr>
                          <w:color w:val="767171" w:themeColor="background2" w:themeShade="80"/>
                          <w:sz w:val="16"/>
                          <w:szCs w:val="17"/>
                          <w:lang w:val="fr-FR"/>
                        </w:rPr>
                      </w:pPr>
                      <w:r w:rsidRPr="001D4D66">
                        <w:rPr>
                          <w:color w:val="767171" w:themeColor="background2" w:themeShade="80"/>
                          <w:sz w:val="16"/>
                          <w:szCs w:val="17"/>
                          <w:lang w:val="fr-FR"/>
                        </w:rPr>
                        <w:t xml:space="preserve">Les frais que vous versez sont utilisés pour payer les frais d’exploitation du </w:t>
                      </w:r>
                      <w:r w:rsidR="009E795F">
                        <w:rPr>
                          <w:color w:val="767171" w:themeColor="background2" w:themeShade="80"/>
                          <w:sz w:val="16"/>
                          <w:szCs w:val="17"/>
                          <w:lang w:val="fr-FR"/>
                        </w:rPr>
                        <w:t>Fonds</w:t>
                      </w:r>
                      <w:r w:rsidRPr="001D4D66">
                        <w:rPr>
                          <w:color w:val="767171" w:themeColor="background2" w:themeShade="80"/>
                          <w:sz w:val="16"/>
                          <w:szCs w:val="17"/>
                          <w:lang w:val="fr-FR"/>
                        </w:rPr>
                        <w:t>, notamment les frais de commercialisation et de distribution. Ces frais réduisent la croissance potentielle de vos investissements.</w:t>
                      </w:r>
                    </w:p>
                    <w:p w14:paraId="49F259AB" w14:textId="3CB864EC" w:rsidR="004016EA" w:rsidRPr="00EC7D6F" w:rsidRDefault="004016EA" w:rsidP="00547654">
                      <w:pPr>
                        <w:rPr>
                          <w:sz w:val="17"/>
                          <w:szCs w:val="17"/>
                        </w:rPr>
                      </w:pPr>
                    </w:p>
                  </w:txbxContent>
                </v:textbox>
              </v:rect>
            </w:pict>
          </mc:Fallback>
        </mc:AlternateContent>
      </w:r>
      <w:r w:rsidR="008304B6" w:rsidRPr="00F00EEE">
        <w:rPr>
          <w:noProof/>
          <w:lang w:val="de-DE" w:eastAsia="ja-JP"/>
        </w:rPr>
        <mc:AlternateContent>
          <mc:Choice Requires="wps">
            <w:drawing>
              <wp:anchor distT="0" distB="0" distL="114300" distR="114300" simplePos="0" relativeHeight="251658239" behindDoc="0" locked="0" layoutInCell="1" allowOverlap="1" wp14:anchorId="314135DF" wp14:editId="72414194">
                <wp:simplePos x="0" y="0"/>
                <wp:positionH relativeFrom="column">
                  <wp:posOffset>-552451</wp:posOffset>
                </wp:positionH>
                <wp:positionV relativeFrom="paragraph">
                  <wp:posOffset>-142875</wp:posOffset>
                </wp:positionV>
                <wp:extent cx="3444875" cy="2181225"/>
                <wp:effectExtent l="0" t="0" r="317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875" cy="218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135DF" id="_x0000_s1037" type="#_x0000_t202" style="position:absolute;margin-left:-43.5pt;margin-top:-11.25pt;width:271.25pt;height:171.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" stroked="f">
                <v:textbox>
                  <w:txbxContent>
                    <w:p w14:paraId="08E2E970" w14:textId="7F0E9744" w:rsidR="004016EA" w:rsidRPr="008304B6" w:rsidRDefault="004016EA" w:rsidP="004A26CC">
                      <w:pPr>
                        <w:pStyle w:val="KIIDtext1"/>
                        <w:rPr>
                          <w:rFonts w:cs="Arial"/>
                          <w:sz w:val="17"/>
                          <w:lang w:val="fr-FR"/>
                        </w:rPr>
                      </w:pPr>
                      <w:r w:rsidRPr="008304B6">
                        <w:rPr>
                          <w:rFonts w:cs="Arial"/>
                          <w:sz w:val="17"/>
                          <w:lang w:val="fr-FR"/>
                        </w:rPr>
                        <w:t>Les frais d’entrée indiqués sont un montant maximal. Dans certains cas, vous pouvez payer moins. Votre conseiller financier peut vous conseiller à ce sujet.</w:t>
                      </w:r>
                    </w:p>
                    <w:p w14:paraId="2405D0BB" w14:textId="2B946359" w:rsidR="004016EA" w:rsidRPr="008304B6" w:rsidRDefault="004016EA" w:rsidP="008304B6">
                      <w:pPr>
                        <w:pStyle w:val="KIIDtext1"/>
                        <w:rPr>
                          <w:rFonts w:cs="Arial"/>
                          <w:sz w:val="17"/>
                          <w:lang w:val="fr-FR"/>
                        </w:rPr>
                      </w:pPr>
                      <w:r w:rsidRPr="008304B6">
                        <w:rPr>
                          <w:rFonts w:asciiTheme="minorBidi" w:hAnsiTheme="minorBidi" w:cstheme="minorBidi"/>
                          <w:sz w:val="16"/>
                          <w:szCs w:val="16"/>
                          <w:lang w:val="fr-FR"/>
                        </w:rPr>
                        <w:t>La valeur indiquée pour les frais récurrents est une estimation basée sur les frais maximaux pour l’exercice clos en décembre 2021</w:t>
                      </w:r>
                      <w:r w:rsidRPr="008304B6">
                        <w:rPr>
                          <w:lang w:val="fr-FR"/>
                        </w:rPr>
                        <w:t xml:space="preserve"> </w:t>
                      </w:r>
                      <w:r w:rsidRPr="008304B6">
                        <w:rPr>
                          <w:rFonts w:asciiTheme="minorBidi" w:hAnsiTheme="minorBidi" w:cstheme="minorBidi"/>
                          <w:sz w:val="16"/>
                          <w:szCs w:val="16"/>
                          <w:lang w:val="fr-FR"/>
                        </w:rPr>
                        <w:t xml:space="preserve">sur la base de l'ancienne entité du Salar Fund. </w:t>
                      </w:r>
                      <w:r w:rsidRPr="00AD5824">
                        <w:rPr>
                          <w:rFonts w:asciiTheme="minorBidi" w:hAnsiTheme="minorBidi" w:cstheme="minorBidi"/>
                          <w:sz w:val="16"/>
                          <w:szCs w:val="16"/>
                          <w:lang w:val="fr-FR"/>
                        </w:rPr>
                        <w:t>Cette valeur peut fluctuer d’exercice en exercice</w:t>
                      </w:r>
                      <w:r w:rsidRPr="008304B6">
                        <w:rPr>
                          <w:rFonts w:asciiTheme="minorBidi" w:hAnsiTheme="minorBidi" w:cstheme="minorBidi"/>
                          <w:sz w:val="16"/>
                          <w:szCs w:val="16"/>
                          <w:lang w:val="fr-FR"/>
                        </w:rPr>
                        <w:t xml:space="preserve"> Elle exclut :</w:t>
                      </w:r>
                    </w:p>
                    <w:p w14:paraId="0E256CA1" w14:textId="3179C194" w:rsidR="004016EA" w:rsidRPr="008304B6" w:rsidRDefault="004016EA" w:rsidP="008304B6">
                      <w:pPr>
                        <w:pStyle w:val="KIIDtext1"/>
                        <w:rPr>
                          <w:rFonts w:cs="Arial"/>
                          <w:sz w:val="17"/>
                          <w:lang w:val="fr-FR"/>
                        </w:rPr>
                      </w:pPr>
                      <w:r w:rsidRPr="008304B6">
                        <w:rPr>
                          <w:rFonts w:cs="Arial"/>
                          <w:sz w:val="17"/>
                          <w:lang w:val="fr-FR"/>
                        </w:rPr>
                        <w:t>Commissions de performance, 10 % de la surperformance du Fonds par rapport à un taux de rendement minimal spécifique à la devise (voir tableau), composé quotidiennement.</w:t>
                      </w:r>
                      <w:r>
                        <w:rPr>
                          <w:rFonts w:cs="Arial"/>
                          <w:sz w:val="17"/>
                          <w:lang w:val="fr-FR"/>
                        </w:rPr>
                        <w:t xml:space="preserve"> </w:t>
                      </w:r>
                    </w:p>
                    <w:p w14:paraId="4CC51608" w14:textId="77777777" w:rsidR="004016EA" w:rsidRPr="007B1576" w:rsidRDefault="004016EA" w:rsidP="008304B6">
                      <w:pPr>
                        <w:pStyle w:val="KIIDtext1"/>
                        <w:rPr>
                          <w:rFonts w:cs="Arial"/>
                          <w:sz w:val="17"/>
                          <w:highlight w:val="yellow"/>
                          <w:lang w:val="fr-FR"/>
                        </w:rPr>
                      </w:pPr>
                      <w:r w:rsidRPr="007B1576">
                        <w:rPr>
                          <w:rFonts w:cs="Arial"/>
                          <w:sz w:val="17"/>
                          <w:lang w:val="fr-FR"/>
                        </w:rPr>
                        <w:t>Pour tous les détails relatifs aux frais applicables au Fonds, veuillez vous rapporter à la section « Frais et dépenses » du Prospectus et du Supplément.</w:t>
                      </w:r>
                    </w:p>
                    <w:p w14:paraId="452EE53E" w14:textId="2CA2DA3E" w:rsidR="004016EA" w:rsidRPr="00632B5E" w:rsidRDefault="004016EA" w:rsidP="008304B6">
                      <w:pPr>
                        <w:pStyle w:val="KIIDtext1"/>
                        <w:rPr>
                          <w:sz w:val="17"/>
                        </w:rPr>
                      </w:pPr>
                    </w:p>
                  </w:txbxContent>
                </v:textbox>
              </v:shape>
            </w:pict>
          </mc:Fallback>
        </mc:AlternateContent>
      </w:r>
      <w:r w:rsidR="008304B6" w:rsidRPr="00F00EEE">
        <w:rPr>
          <w:noProof/>
          <w:lang w:val="de-DE" w:eastAsia="ja-JP"/>
        </w:rPr>
        <mc:AlternateContent>
          <mc:Choice Requires="wps">
            <w:drawing>
              <wp:anchor distT="0" distB="0" distL="114300" distR="114300" simplePos="0" relativeHeight="251674624" behindDoc="0" locked="0" layoutInCell="1" allowOverlap="1" wp14:anchorId="18404AF7" wp14:editId="4DE550C4">
                <wp:simplePos x="0" y="0"/>
                <wp:positionH relativeFrom="column">
                  <wp:posOffset>-541020</wp:posOffset>
                </wp:positionH>
                <wp:positionV relativeFrom="paragraph">
                  <wp:posOffset>-320040</wp:posOffset>
                </wp:positionV>
                <wp:extent cx="3096260" cy="224155"/>
                <wp:effectExtent l="0" t="0" r="889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04AF7" id="_x0000_s1038" type="#_x0000_t202" style="position:absolute;margin-left:-42.6pt;margin-top:-25.2pt;width:243.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DOhQIAABcFAAAOAAAAZHJzL2Uyb0RvYy54bWysVNuO2yAQfa/Uf0C8Z32pk42tdVa7SVNV&#10;2l6k3X4AARyjYqBAYm9X/fcOOEm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" stroked="f">
                <v:textbox>
                  <w:txbxContent>
                    <w:p w14:paraId="28203165" w14:textId="77777777" w:rsidR="004016EA" w:rsidRPr="006F31C1" w:rsidRDefault="004016EA" w:rsidP="004173DF">
                      <w:pPr>
                        <w:shd w:val="clear" w:color="auto" w:fill="FFFFFF"/>
                        <w:tabs>
                          <w:tab w:val="left" w:pos="163"/>
                        </w:tabs>
                        <w:autoSpaceDE w:val="0"/>
                        <w:autoSpaceDN w:val="0"/>
                        <w:adjustRightInd w:val="0"/>
                        <w:spacing w:line="240" w:lineRule="auto"/>
                        <w:jc w:val="left"/>
                        <w:rPr>
                          <w:rFonts w:cs="Arial"/>
                          <w:color w:val="5F5F5F"/>
                          <w:sz w:val="18"/>
                          <w:szCs w:val="18"/>
                        </w:rPr>
                      </w:pPr>
                      <w:r w:rsidRPr="001D4D66">
                        <w:rPr>
                          <w:rFonts w:eastAsia="Calibri" w:cs="Arial"/>
                          <w:b/>
                          <w:bCs/>
                          <w:caps/>
                          <w:color w:val="006747"/>
                          <w:spacing w:val="7"/>
                          <w:sz w:val="21"/>
                          <w:szCs w:val="22"/>
                          <w:lang w:val="en-GB"/>
                        </w:rPr>
                        <w:t>FRAIS POUR CE FONDS</w:t>
                      </w:r>
                    </w:p>
                    <w:p w14:paraId="6806782D" w14:textId="4A7FE926" w:rsidR="004016EA" w:rsidRPr="006F31C1" w:rsidRDefault="004016EA" w:rsidP="005B6E23">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p>
    <w:p w14:paraId="2EAC6F4B" w14:textId="5385036C" w:rsidR="005B6E23" w:rsidRPr="00F00EEE" w:rsidRDefault="005B6E23">
      <w:pPr>
        <w:widowControl/>
        <w:spacing w:after="160" w:line="259" w:lineRule="auto"/>
        <w:jc w:val="left"/>
        <w:rPr>
          <w:lang w:val="fr-FR"/>
        </w:rPr>
      </w:pPr>
    </w:p>
    <w:p w14:paraId="28366717" w14:textId="445D58D8" w:rsidR="00CB0F6B" w:rsidRPr="00F00EEE" w:rsidRDefault="00CB0F6B">
      <w:pPr>
        <w:widowControl/>
        <w:spacing w:after="160" w:line="259" w:lineRule="auto"/>
        <w:jc w:val="left"/>
        <w:rPr>
          <w:lang w:val="fr-FR"/>
        </w:rPr>
      </w:pPr>
    </w:p>
    <w:p w14:paraId="4A1DA4D6" w14:textId="77777777" w:rsidR="00CB0F6B" w:rsidRPr="00F00EEE" w:rsidRDefault="00CB0F6B">
      <w:pPr>
        <w:widowControl/>
        <w:spacing w:after="160" w:line="259" w:lineRule="auto"/>
        <w:jc w:val="left"/>
        <w:rPr>
          <w:lang w:val="fr-FR"/>
        </w:rPr>
      </w:pPr>
    </w:p>
    <w:p w14:paraId="6E498A85" w14:textId="77777777" w:rsidR="00CB0F6B" w:rsidRPr="00F00EEE" w:rsidRDefault="00CB0F6B">
      <w:pPr>
        <w:widowControl/>
        <w:spacing w:after="160" w:line="259" w:lineRule="auto"/>
        <w:jc w:val="left"/>
        <w:rPr>
          <w:lang w:val="fr-FR"/>
        </w:rPr>
      </w:pPr>
    </w:p>
    <w:p w14:paraId="1653F5EC" w14:textId="77777777" w:rsidR="00CB0F6B" w:rsidRPr="00F00EEE" w:rsidRDefault="00CB0F6B">
      <w:pPr>
        <w:widowControl/>
        <w:spacing w:after="160" w:line="259" w:lineRule="auto"/>
        <w:jc w:val="left"/>
        <w:rPr>
          <w:lang w:val="fr-FR"/>
        </w:rPr>
      </w:pPr>
    </w:p>
    <w:p w14:paraId="2E0E1DE6" w14:textId="2987AB38" w:rsidR="00CB0F6B" w:rsidRPr="00F00EEE" w:rsidRDefault="00CB0F6B">
      <w:pPr>
        <w:widowControl/>
        <w:spacing w:after="160" w:line="259" w:lineRule="auto"/>
        <w:jc w:val="left"/>
        <w:rPr>
          <w:lang w:val="fr-FR"/>
        </w:rPr>
      </w:pPr>
    </w:p>
    <w:p w14:paraId="6E9DDF1D" w14:textId="5C592947" w:rsidR="00CB0F6B" w:rsidRPr="00F00EEE" w:rsidRDefault="00CB0F6B">
      <w:pPr>
        <w:widowControl/>
        <w:spacing w:after="160" w:line="259" w:lineRule="auto"/>
        <w:jc w:val="left"/>
        <w:rPr>
          <w:lang w:val="fr-FR"/>
        </w:rPr>
      </w:pPr>
    </w:p>
    <w:p w14:paraId="39853E37" w14:textId="3D747435" w:rsidR="00CB0F6B" w:rsidRPr="00F00EEE" w:rsidRDefault="00CB0F6B">
      <w:pPr>
        <w:widowControl/>
        <w:spacing w:after="160" w:line="259" w:lineRule="auto"/>
        <w:jc w:val="left"/>
        <w:rPr>
          <w:lang w:val="fr-FR"/>
        </w:rPr>
      </w:pPr>
    </w:p>
    <w:p w14:paraId="69D20D1C" w14:textId="2EB7CADB" w:rsidR="00F631E3" w:rsidRPr="00F00EEE" w:rsidRDefault="004A73AF">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2816" behindDoc="0" locked="0" layoutInCell="1" allowOverlap="1" wp14:anchorId="0E57E85D" wp14:editId="16A9F3D7">
                <wp:simplePos x="0" y="0"/>
                <wp:positionH relativeFrom="column">
                  <wp:posOffset>-514350</wp:posOffset>
                </wp:positionH>
                <wp:positionV relativeFrom="paragraph">
                  <wp:posOffset>261620</wp:posOffset>
                </wp:positionV>
                <wp:extent cx="3096260" cy="224155"/>
                <wp:effectExtent l="0" t="0" r="889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7E85D" id="_x0000_s1039" type="#_x0000_t202" style="position:absolute;margin-left:-40.5pt;margin-top:20.6pt;width:243.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mZLhQIAABc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" stroked="f">
                <v:textbox>
                  <w:txbxContent>
                    <w:p w14:paraId="30AEE218" w14:textId="77777777" w:rsidR="004016EA" w:rsidRPr="008F2C76" w:rsidRDefault="004016EA" w:rsidP="004173DF">
                      <w:pPr>
                        <w:shd w:val="clear" w:color="auto" w:fill="FFFFFF"/>
                        <w:tabs>
                          <w:tab w:val="left" w:pos="163"/>
                        </w:tabs>
                        <w:autoSpaceDE w:val="0"/>
                        <w:autoSpaceDN w:val="0"/>
                        <w:adjustRightInd w:val="0"/>
                        <w:spacing w:line="240" w:lineRule="auto"/>
                        <w:rPr>
                          <w:rFonts w:ascii="Gill Sans MT" w:hAnsi="Gill Sans MT" w:cs="Arial"/>
                          <w:color w:val="5F5F5F"/>
                          <w:sz w:val="18"/>
                          <w:szCs w:val="18"/>
                        </w:rPr>
                      </w:pPr>
                      <w:r w:rsidRPr="008F2C76">
                        <w:rPr>
                          <w:rFonts w:ascii="Gill Sans MT" w:eastAsia="Calibri" w:hAnsi="Gill Sans MT" w:cs="Arial"/>
                          <w:b/>
                          <w:bCs/>
                          <w:caps/>
                          <w:color w:val="006747"/>
                          <w:sz w:val="21"/>
                          <w:szCs w:val="22"/>
                          <w:lang w:val="fr-FR"/>
                        </w:rPr>
                        <w:t>Performances passées</w:t>
                      </w:r>
                    </w:p>
                    <w:p w14:paraId="790DA84A" w14:textId="0AF33E6F" w:rsidR="004016EA" w:rsidRPr="006F31C1" w:rsidRDefault="004016EA" w:rsidP="00547654">
                      <w:pPr>
                        <w:shd w:val="clear" w:color="auto" w:fill="FFFFFF"/>
                        <w:tabs>
                          <w:tab w:val="left" w:pos="163"/>
                        </w:tabs>
                        <w:autoSpaceDE w:val="0"/>
                        <w:autoSpaceDN w:val="0"/>
                        <w:adjustRightInd w:val="0"/>
                        <w:spacing w:line="240" w:lineRule="auto"/>
                        <w:rPr>
                          <w:rFonts w:cs="Arial"/>
                          <w:color w:val="5F5F5F"/>
                          <w:sz w:val="18"/>
                          <w:szCs w:val="18"/>
                        </w:rPr>
                      </w:pPr>
                    </w:p>
                  </w:txbxContent>
                </v:textbox>
              </v:shape>
            </w:pict>
          </mc:Fallback>
        </mc:AlternateContent>
      </w:r>
      <w:r w:rsidRPr="00F00EEE">
        <w:rPr>
          <w:noProof/>
          <w:color w:val="000000"/>
          <w:lang w:val="de-DE" w:eastAsia="ja-JP"/>
        </w:rPr>
        <mc:AlternateContent>
          <mc:Choice Requires="wps">
            <w:drawing>
              <wp:anchor distT="0" distB="0" distL="114300" distR="114300" simplePos="0" relativeHeight="251680768" behindDoc="0" locked="0" layoutInCell="1" allowOverlap="1" wp14:anchorId="2ED6B05F" wp14:editId="5BEDF558">
                <wp:simplePos x="0" y="0"/>
                <wp:positionH relativeFrom="margin">
                  <wp:posOffset>-477520</wp:posOffset>
                </wp:positionH>
                <wp:positionV relativeFrom="paragraph">
                  <wp:posOffset>200025</wp:posOffset>
                </wp:positionV>
                <wp:extent cx="6840220" cy="8255"/>
                <wp:effectExtent l="0" t="0" r="36830" b="29845"/>
                <wp:wrapNone/>
                <wp:docPr id="1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B97AF" id="_x0000_t32" coordsize="21600,21600" o:spt="32" o:oned="t" path="m,l21600,21600e" filled="f">
                <v:path arrowok="t" fillok="f" o:connecttype="none"/>
                <o:lock v:ext="edit" shapetype="t"/>
              </v:shapetype>
              <v:shape id="AutoShape 129" o:spid="_x0000_s1026" type="#_x0000_t32" style="position:absolute;margin-left:-37.6pt;margin-top:15.75pt;width:538.6pt;height:.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awJgIAAEEEAAAOAAAAZHJzL2Uyb0RvYy54bWysU02P2jAQvVfqf7B8h3w0s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" strokecolor="#006747">
                <w10:wrap anchorx="margin"/>
              </v:shape>
            </w:pict>
          </mc:Fallback>
        </mc:AlternateContent>
      </w:r>
    </w:p>
    <w:p w14:paraId="4FE81C06" w14:textId="3521FB59" w:rsidR="009813A8" w:rsidRPr="00F00EEE" w:rsidRDefault="003661ED">
      <w:pPr>
        <w:widowControl/>
        <w:spacing w:after="160" w:line="259" w:lineRule="auto"/>
        <w:jc w:val="left"/>
        <w:rPr>
          <w:lang w:val="fr-FR"/>
        </w:rPr>
      </w:pPr>
      <w:r>
        <w:rPr>
          <w:noProof/>
          <w:lang w:val="de-DE" w:eastAsia="ja-JP"/>
        </w:rPr>
        <w:drawing>
          <wp:anchor distT="0" distB="0" distL="114300" distR="114300" simplePos="0" relativeHeight="251710464" behindDoc="0" locked="0" layoutInCell="1" allowOverlap="1" wp14:anchorId="7A833777" wp14:editId="2B4313FC">
            <wp:simplePos x="0" y="0"/>
            <wp:positionH relativeFrom="column">
              <wp:posOffset>0</wp:posOffset>
            </wp:positionH>
            <wp:positionV relativeFrom="paragraph">
              <wp:posOffset>198755</wp:posOffset>
            </wp:positionV>
            <wp:extent cx="5731510" cy="15093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31510" cy="1509395"/>
                    </a:xfrm>
                    <a:prstGeom prst="rect">
                      <a:avLst/>
                    </a:prstGeom>
                  </pic:spPr>
                </pic:pic>
              </a:graphicData>
            </a:graphic>
            <wp14:sizeRelH relativeFrom="page">
              <wp14:pctWidth>0</wp14:pctWidth>
            </wp14:sizeRelH>
            <wp14:sizeRelV relativeFrom="page">
              <wp14:pctHeight>0</wp14:pctHeight>
            </wp14:sizeRelV>
          </wp:anchor>
        </w:drawing>
      </w:r>
    </w:p>
    <w:p w14:paraId="7D153BAF" w14:textId="1C3B9724" w:rsidR="00D91E47" w:rsidRPr="00F00EEE" w:rsidRDefault="007F4CBB" w:rsidP="009813A8">
      <w:pPr>
        <w:widowControl/>
        <w:spacing w:after="160" w:line="259" w:lineRule="auto"/>
        <w:rPr>
          <w:lang w:val="fr-FR"/>
        </w:rPr>
      </w:pPr>
      <w:r w:rsidRPr="00F00EEE">
        <w:rPr>
          <w:noProof/>
          <w:lang w:val="de-DE" w:eastAsia="ja-JP"/>
        </w:rPr>
        <mc:AlternateContent>
          <mc:Choice Requires="wps">
            <w:drawing>
              <wp:anchor distT="0" distB="0" distL="114300" distR="114300" simplePos="0" relativeHeight="251657214" behindDoc="0" locked="0" layoutInCell="1" allowOverlap="1" wp14:anchorId="652E6D33" wp14:editId="689DA393">
                <wp:simplePos x="0" y="0"/>
                <wp:positionH relativeFrom="column">
                  <wp:posOffset>-495300</wp:posOffset>
                </wp:positionH>
                <wp:positionV relativeFrom="paragraph">
                  <wp:posOffset>1511300</wp:posOffset>
                </wp:positionV>
                <wp:extent cx="6962775" cy="50482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60CF8" w14:textId="6A0A703B" w:rsidR="004016EA" w:rsidRDefault="004016EA" w:rsidP="004A73AF">
                            <w:pPr>
                              <w:pStyle w:val="KIIDtext1"/>
                              <w:spacing w:line="264" w:lineRule="auto"/>
                              <w:rPr>
                                <w:rFonts w:ascii="ArialMT" w:eastAsiaTheme="minorHAnsi" w:hAnsi="ArialMT" w:cs="ArialMT"/>
                                <w:sz w:val="14"/>
                                <w:szCs w:val="14"/>
                                <w:lang w:val="en-GB"/>
                              </w:rPr>
                            </w:pPr>
                            <w:bookmarkStart w:id="0" w:name="_Hlk106031432"/>
                            <w:bookmarkStart w:id="1" w:name="_Hlk106031433"/>
                            <w:bookmarkStart w:id="2" w:name="_Hlk106031434"/>
                            <w:bookmarkStart w:id="3" w:name="_Hlk106031435"/>
                            <w:r w:rsidRPr="004173DF">
                              <w:rPr>
                                <w:sz w:val="14"/>
                                <w:szCs w:val="14"/>
                                <w:lang w:val="fr-FR"/>
                              </w:rPr>
                              <w:t>Le pourcentage de la performance passée indiqué ci-dessus comprend toutes les frais de fonctionnement et de ge</w:t>
                            </w:r>
                            <w:r w:rsidR="004A73AF">
                              <w:rPr>
                                <w:sz w:val="14"/>
                                <w:szCs w:val="14"/>
                                <w:lang w:val="fr-FR"/>
                              </w:rPr>
                              <w:t>stion des Actions de Catégorie E2 Acc</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0"/>
                          <w:bookmarkEnd w:id="1"/>
                          <w:bookmarkEnd w:id="2"/>
                          <w:bookmarkEnd w:id="3"/>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2E6D33" id="_x0000_s1040" type="#_x0000_t202" style="position:absolute;left:0;text-align:left;margin-left:-39pt;margin-top:119pt;width:548.25pt;height:39.7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" stroked="f">
                <v:textbox inset="0,0,0,0">
                  <w:txbxContent>
                    <w:p w14:paraId="18760CF8" w14:textId="6A0A703B" w:rsidR="004016EA" w:rsidRDefault="004016EA" w:rsidP="004A73AF">
                      <w:pPr>
                        <w:pStyle w:val="KIIDtext1"/>
                        <w:spacing w:line="264" w:lineRule="auto"/>
                        <w:rPr>
                          <w:rFonts w:ascii="ArialMT" w:eastAsiaTheme="minorHAnsi" w:hAnsi="ArialMT" w:cs="ArialMT"/>
                          <w:sz w:val="14"/>
                          <w:szCs w:val="14"/>
                          <w:lang w:val="en-GB"/>
                        </w:rPr>
                      </w:pPr>
                      <w:bookmarkStart w:id="6" w:name="_Hlk106031432"/>
                      <w:bookmarkStart w:id="7" w:name="_Hlk106031433"/>
                      <w:bookmarkStart w:id="8" w:name="_Hlk106031434"/>
                      <w:bookmarkStart w:id="9" w:name="_Hlk106031435"/>
                      <w:r w:rsidRPr="004173DF">
                        <w:rPr>
                          <w:sz w:val="14"/>
                          <w:szCs w:val="14"/>
                          <w:lang w:val="fr-FR"/>
                        </w:rPr>
                        <w:t>Le pourcentage de la performance passée indiqué ci-dessus comprend toutes les frais de fonctionnement et de ge</w:t>
                      </w:r>
                      <w:r w:rsidR="004A73AF">
                        <w:rPr>
                          <w:sz w:val="14"/>
                          <w:szCs w:val="14"/>
                          <w:lang w:val="fr-FR"/>
                        </w:rPr>
                        <w:t>stion des Actions de Catégorie E2 Acc</w:t>
                      </w:r>
                      <w:r w:rsidRPr="004173DF">
                        <w:rPr>
                          <w:sz w:val="14"/>
                          <w:szCs w:val="14"/>
                          <w:lang w:val="fr-FR"/>
                        </w:rPr>
                        <w:t xml:space="preserve"> du Fonds. La performance passée n’est pas </w:t>
                      </w:r>
                      <w:r w:rsidRPr="00FA0149">
                        <w:rPr>
                          <w:sz w:val="14"/>
                          <w:szCs w:val="14"/>
                          <w:lang w:val="fr-FR"/>
                        </w:rPr>
                        <w:t>nécessairement une indication de la performance future, les prix peuvent fluctuer et il est possible que vous ne puissiez pas récupérer votre investissement original.</w:t>
                      </w:r>
                      <w:r w:rsidRPr="00FA0149">
                        <w:rPr>
                          <w:rFonts w:ascii="ArialMT" w:eastAsiaTheme="minorHAnsi" w:hAnsi="ArialMT" w:cs="ArialMT"/>
                          <w:sz w:val="14"/>
                          <w:szCs w:val="14"/>
                          <w:lang w:val="en-GB"/>
                        </w:rPr>
                        <w:t xml:space="preserve"> </w:t>
                      </w:r>
                      <w:r w:rsidRPr="00FA0149">
                        <w:rPr>
                          <w:rFonts w:ascii="ArialMT" w:eastAsiaTheme="minorHAnsi" w:hAnsi="ArialMT" w:cs="ArialMT"/>
                          <w:sz w:val="14"/>
                          <w:szCs w:val="14"/>
                          <w:lang w:val="fr-FR"/>
                        </w:rPr>
                        <w:t xml:space="preserve">Étant donné que ce fonds est une entité réceptrice nouvellement établie issue de la fusion d'un fonds OPCVM précédent, les performances passées reflètent les performances du </w:t>
                      </w:r>
                      <w:r w:rsidRPr="00FA0149">
                        <w:rPr>
                          <w:rFonts w:ascii="ArialMT" w:eastAsiaTheme="minorHAnsi" w:hAnsi="ArialMT" w:cs="ArialMT"/>
                          <w:sz w:val="14"/>
                          <w:szCs w:val="14"/>
                          <w:lang w:val="en-GB"/>
                        </w:rPr>
                        <w:t>Salar Fund PLC.</w:t>
                      </w:r>
                    </w:p>
                    <w:bookmarkEnd w:id="6"/>
                    <w:bookmarkEnd w:id="7"/>
                    <w:bookmarkEnd w:id="8"/>
                    <w:bookmarkEnd w:id="9"/>
                  </w:txbxContent>
                </v:textbox>
              </v:shape>
            </w:pict>
          </mc:Fallback>
        </mc:AlternateContent>
      </w:r>
      <w:r w:rsidR="007B4BEC" w:rsidRPr="00F00EEE">
        <w:rPr>
          <w:lang w:val="fr-FR"/>
        </w:rPr>
        <w:t xml:space="preserve">  </w:t>
      </w:r>
    </w:p>
    <w:p w14:paraId="2FDBC5E8" w14:textId="1343907A" w:rsidR="00D91E47" w:rsidRPr="00F00EEE" w:rsidRDefault="00DA4315">
      <w:pPr>
        <w:widowControl/>
        <w:spacing w:after="160" w:line="259" w:lineRule="auto"/>
        <w:jc w:val="left"/>
        <w:rPr>
          <w:lang w:val="fr-FR"/>
        </w:rPr>
      </w:pPr>
      <w:r w:rsidRPr="00F00EEE">
        <w:rPr>
          <w:noProof/>
          <w:color w:val="000000"/>
          <w:lang w:val="de-DE" w:eastAsia="ja-JP"/>
        </w:rPr>
        <mc:AlternateContent>
          <mc:Choice Requires="wps">
            <w:drawing>
              <wp:anchor distT="0" distB="0" distL="114300" distR="114300" simplePos="0" relativeHeight="251686912" behindDoc="0" locked="0" layoutInCell="1" allowOverlap="1" wp14:anchorId="1134C902" wp14:editId="68814855">
                <wp:simplePos x="0" y="0"/>
                <wp:positionH relativeFrom="margin">
                  <wp:posOffset>-541020</wp:posOffset>
                </wp:positionH>
                <wp:positionV relativeFrom="paragraph">
                  <wp:posOffset>328930</wp:posOffset>
                </wp:positionV>
                <wp:extent cx="6840220" cy="8255"/>
                <wp:effectExtent l="0" t="0" r="36830" b="29845"/>
                <wp:wrapNone/>
                <wp:docPr id="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8255"/>
                        </a:xfrm>
                        <a:prstGeom prst="straightConnector1">
                          <a:avLst/>
                        </a:prstGeom>
                        <a:noFill/>
                        <a:ln w="9525">
                          <a:solidFill>
                            <a:srgbClr val="00674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A2137" id="AutoShape 134" o:spid="_x0000_s1026" type="#_x0000_t32" style="position:absolute;margin-left:-42.6pt;margin-top:25.9pt;width:538.6pt;height:.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" strokecolor="#006747">
                <w10:wrap anchorx="margin"/>
              </v:shape>
            </w:pict>
          </mc:Fallback>
        </mc:AlternateContent>
      </w:r>
    </w:p>
    <w:p w14:paraId="59D3C0D3" w14:textId="21DA36A0" w:rsidR="00D91E47" w:rsidRPr="00F00EEE" w:rsidRDefault="00DA4315">
      <w:pPr>
        <w:widowControl/>
        <w:spacing w:after="160" w:line="259" w:lineRule="auto"/>
        <w:jc w:val="left"/>
        <w:rPr>
          <w:lang w:val="fr-FR"/>
        </w:rPr>
      </w:pPr>
      <w:r w:rsidRPr="00F00EEE">
        <w:rPr>
          <w:noProof/>
          <w:lang w:val="de-DE" w:eastAsia="ja-JP"/>
        </w:rPr>
        <mc:AlternateContent>
          <mc:Choice Requires="wps">
            <w:drawing>
              <wp:anchor distT="0" distB="0" distL="114300" distR="114300" simplePos="0" relativeHeight="251688960" behindDoc="0" locked="0" layoutInCell="1" allowOverlap="1" wp14:anchorId="05C78577" wp14:editId="0035A2F3">
                <wp:simplePos x="0" y="0"/>
                <wp:positionH relativeFrom="column">
                  <wp:posOffset>-487045</wp:posOffset>
                </wp:positionH>
                <wp:positionV relativeFrom="paragraph">
                  <wp:posOffset>105410</wp:posOffset>
                </wp:positionV>
                <wp:extent cx="3096260" cy="224155"/>
                <wp:effectExtent l="0" t="0" r="889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26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78577" id="_x0000_s1041" type="#_x0000_t202" style="position:absolute;margin-left:-38.35pt;margin-top:8.3pt;width:243.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" stroked="f">
                <v:textbox>
                  <w:txbxContent>
                    <w:p w14:paraId="7A7D7D0E" w14:textId="77777777" w:rsidR="004016EA" w:rsidRPr="006F31C1" w:rsidRDefault="004016EA" w:rsidP="00CB0F6B">
                      <w:pPr>
                        <w:shd w:val="clear" w:color="auto" w:fill="FFFFFF"/>
                        <w:tabs>
                          <w:tab w:val="left" w:pos="163"/>
                        </w:tabs>
                        <w:autoSpaceDE w:val="0"/>
                        <w:autoSpaceDN w:val="0"/>
                        <w:adjustRightInd w:val="0"/>
                        <w:spacing w:line="240" w:lineRule="auto"/>
                        <w:rPr>
                          <w:rFonts w:cs="Arial"/>
                          <w:color w:val="5F5F5F"/>
                          <w:sz w:val="18"/>
                          <w:szCs w:val="18"/>
                        </w:rPr>
                      </w:pPr>
                      <w:r w:rsidRPr="006F31C1">
                        <w:rPr>
                          <w:rFonts w:eastAsia="Calibri" w:cs="Arial"/>
                          <w:b/>
                          <w:bCs/>
                          <w:caps/>
                          <w:color w:val="006747"/>
                          <w:spacing w:val="7"/>
                          <w:sz w:val="21"/>
                          <w:szCs w:val="22"/>
                          <w:lang w:val="en-GB"/>
                        </w:rPr>
                        <w:t>Practical Information</w:t>
                      </w:r>
                    </w:p>
                  </w:txbxContent>
                </v:textbox>
              </v:shape>
            </w:pict>
          </mc:Fallback>
        </mc:AlternateContent>
      </w:r>
      <w:r w:rsidRPr="00F00EEE">
        <w:rPr>
          <w:noProof/>
          <w:lang w:val="de-DE" w:eastAsia="ja-JP"/>
        </w:rPr>
        <mc:AlternateContent>
          <mc:Choice Requires="wps">
            <w:drawing>
              <wp:anchor distT="0" distB="0" distL="114300" distR="114300" simplePos="0" relativeHeight="251691008" behindDoc="0" locked="0" layoutInCell="1" allowOverlap="1" wp14:anchorId="433AE50E" wp14:editId="7EF186D9">
                <wp:simplePos x="0" y="0"/>
                <wp:positionH relativeFrom="column">
                  <wp:posOffset>2990850</wp:posOffset>
                </wp:positionH>
                <wp:positionV relativeFrom="paragraph">
                  <wp:posOffset>201296</wp:posOffset>
                </wp:positionV>
                <wp:extent cx="3275965" cy="2686050"/>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68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687384" w14:textId="77777777" w:rsidR="004016EA" w:rsidRPr="009B78FC" w:rsidRDefault="004016EA" w:rsidP="00DA4315">
                            <w:pPr>
                              <w:pStyle w:val="KIIDbullet1"/>
                              <w:numPr>
                                <w:ilvl w:val="0"/>
                                <w:numId w:val="10"/>
                              </w:numPr>
                              <w:spacing w:after="6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DA4315">
                            <w:pPr>
                              <w:pStyle w:val="KIIDbullet1"/>
                              <w:numPr>
                                <w:ilvl w:val="0"/>
                                <w:numId w:val="10"/>
                              </w:numPr>
                              <w:spacing w:after="6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DA4315">
                            <w:pPr>
                              <w:pStyle w:val="KIIDbullet1"/>
                              <w:numPr>
                                <w:ilvl w:val="0"/>
                                <w:numId w:val="10"/>
                              </w:numPr>
                              <w:spacing w:after="6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AE50E" id="_x0000_s1042" type="#_x0000_t202" style="position:absolute;margin-left:235.5pt;margin-top:15.85pt;width:257.95pt;height:21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akiAIAABg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" stroked="f">
                <v:textbox>
                  <w:txbxContent>
                    <w:p w14:paraId="63687384" w14:textId="77777777" w:rsidR="004016EA" w:rsidRPr="009B78FC" w:rsidRDefault="004016EA" w:rsidP="00DA4315">
                      <w:pPr>
                        <w:pStyle w:val="KIIDbullet1"/>
                        <w:numPr>
                          <w:ilvl w:val="0"/>
                          <w:numId w:val="10"/>
                        </w:numPr>
                        <w:spacing w:after="60" w:line="247" w:lineRule="auto"/>
                        <w:ind w:left="357" w:hanging="357"/>
                        <w:rPr>
                          <w:rFonts w:cs="Arial"/>
                          <w:bCs/>
                          <w:sz w:val="17"/>
                          <w:szCs w:val="17"/>
                          <w:lang w:val="fr-FR"/>
                        </w:rPr>
                      </w:pPr>
                      <w:r w:rsidRPr="009B78FC">
                        <w:rPr>
                          <w:sz w:val="17"/>
                          <w:szCs w:val="17"/>
                          <w:lang w:val="fr-FR"/>
                        </w:rPr>
                        <w:t>Veuillez noter que les lois fiscales irlandaises peuvent impacter votre situation fiscale. Vous êtes priés de prendre conseil auprès d’un professionnel en matière de fiscalité</w:t>
                      </w:r>
                      <w:r w:rsidRPr="009B78FC">
                        <w:rPr>
                          <w:rFonts w:cs="Arial"/>
                          <w:bCs/>
                          <w:sz w:val="17"/>
                          <w:szCs w:val="17"/>
                          <w:lang w:val="fr-FR"/>
                        </w:rPr>
                        <w:t xml:space="preserve">. </w:t>
                      </w:r>
                    </w:p>
                    <w:p w14:paraId="392489E9" w14:textId="77777777" w:rsidR="004016EA" w:rsidRPr="009B78FC" w:rsidRDefault="004016EA" w:rsidP="00DA4315">
                      <w:pPr>
                        <w:pStyle w:val="KIIDbullet1"/>
                        <w:numPr>
                          <w:ilvl w:val="0"/>
                          <w:numId w:val="10"/>
                        </w:numPr>
                        <w:spacing w:after="60" w:line="247" w:lineRule="auto"/>
                        <w:ind w:left="357" w:hanging="357"/>
                        <w:rPr>
                          <w:rFonts w:cs="Arial"/>
                          <w:bCs/>
                          <w:sz w:val="17"/>
                          <w:szCs w:val="17"/>
                          <w:lang w:val="fr-FR"/>
                        </w:rPr>
                      </w:pPr>
                      <w:r w:rsidRPr="009B78FC">
                        <w:rPr>
                          <w:sz w:val="17"/>
                          <w:szCs w:val="17"/>
                          <w:lang w:val="fr-FR"/>
                        </w:rPr>
                        <w:t>La responsabilité du Gestionnaire ne peut être engagée que sur la base de déclarations contenues dans le présent document qui seraient trompeuses, inexactes ou non cohérentes avec les parties correspondantes du Prospectus et/ou du Supplément</w:t>
                      </w:r>
                      <w:r w:rsidRPr="009B78FC">
                        <w:rPr>
                          <w:rFonts w:cs="Arial"/>
                          <w:bCs/>
                          <w:sz w:val="17"/>
                          <w:szCs w:val="17"/>
                          <w:lang w:val="fr-FR"/>
                        </w:rPr>
                        <w:t xml:space="preserve">. </w:t>
                      </w:r>
                      <w:r w:rsidRPr="009B78FC">
                        <w:rPr>
                          <w:sz w:val="17"/>
                          <w:szCs w:val="17"/>
                          <w:lang w:val="fr-FR"/>
                        </w:rPr>
                        <w:t>Les actifs et passifs de chaque compartiment de la Société sont ségrégés en vertu de la loi irlandaise</w:t>
                      </w:r>
                      <w:r w:rsidRPr="009B78FC">
                        <w:rPr>
                          <w:rFonts w:cs="Arial"/>
                          <w:bCs/>
                          <w:sz w:val="17"/>
                          <w:szCs w:val="17"/>
                          <w:lang w:val="fr-FR"/>
                        </w:rPr>
                        <w:t xml:space="preserve">.  </w:t>
                      </w:r>
                    </w:p>
                    <w:p w14:paraId="49CB8C41" w14:textId="77777777" w:rsidR="004016EA" w:rsidRPr="009B78FC" w:rsidRDefault="004016EA" w:rsidP="00DA4315">
                      <w:pPr>
                        <w:pStyle w:val="KIIDbullet1"/>
                        <w:numPr>
                          <w:ilvl w:val="0"/>
                          <w:numId w:val="10"/>
                        </w:numPr>
                        <w:spacing w:after="60" w:line="247" w:lineRule="auto"/>
                        <w:ind w:left="357" w:hanging="357"/>
                        <w:jc w:val="both"/>
                        <w:rPr>
                          <w:rFonts w:cs="Arial"/>
                          <w:bCs/>
                          <w:sz w:val="17"/>
                          <w:szCs w:val="17"/>
                          <w:lang w:val="fr-FR"/>
                        </w:rPr>
                      </w:pPr>
                      <w:r w:rsidRPr="009B78FC">
                        <w:rPr>
                          <w:sz w:val="17"/>
                          <w:szCs w:val="17"/>
                          <w:lang w:val="fr-FR"/>
                        </w:rPr>
                        <w:t>Le Gestionnaire est agréé en Irlande et réglementé par la Banque centrale d'Irlande</w:t>
                      </w:r>
                      <w:r w:rsidRPr="009B78FC">
                        <w:rPr>
                          <w:rFonts w:cs="Arial"/>
                          <w:bCs/>
                          <w:sz w:val="17"/>
                          <w:szCs w:val="17"/>
                          <w:lang w:val="fr-FR"/>
                        </w:rPr>
                        <w:t xml:space="preserve">. </w:t>
                      </w:r>
                    </w:p>
                    <w:p w14:paraId="509D6007" w14:textId="28A0E6B9" w:rsidR="004016EA" w:rsidRPr="00DB2652" w:rsidRDefault="004016EA" w:rsidP="00DB2652">
                      <w:pPr>
                        <w:pStyle w:val="KIIDbullet1"/>
                        <w:numPr>
                          <w:ilvl w:val="0"/>
                          <w:numId w:val="10"/>
                        </w:numPr>
                        <w:spacing w:after="100" w:line="247" w:lineRule="auto"/>
                        <w:ind w:left="357" w:hanging="357"/>
                        <w:jc w:val="both"/>
                        <w:rPr>
                          <w:rFonts w:cs="Arial"/>
                          <w:bCs/>
                          <w:sz w:val="17"/>
                          <w:szCs w:val="17"/>
                          <w:lang w:val="fr-FR"/>
                        </w:rPr>
                      </w:pPr>
                      <w:r w:rsidRPr="009B78FC">
                        <w:rPr>
                          <w:rFonts w:cs="Arial"/>
                          <w:bCs/>
                          <w:sz w:val="17"/>
                          <w:szCs w:val="17"/>
                          <w:lang w:val="fr-FR"/>
                        </w:rPr>
                        <w:t xml:space="preserve">Ces informations clés pour l'investisseur concernent la catégorie d'actions (du fonds) indiquée dans le titre du document. </w:t>
                      </w:r>
                      <w:r w:rsidRPr="009B78FC">
                        <w:rPr>
                          <w:sz w:val="17"/>
                          <w:szCs w:val="17"/>
                          <w:lang w:val="fr-FR"/>
                        </w:rPr>
                        <w:t>Davantage d’informations spécifiques à propos de la Société et du Fonds, y compris comment acheter, vendre et convertir des actions, se trouvent dans le Prospectus et le Supplément.</w:t>
                      </w:r>
                      <w:r w:rsidRPr="009B78FC">
                        <w:rPr>
                          <w:rFonts w:cs="Arial"/>
                          <w:sz w:val="17"/>
                          <w:szCs w:val="17"/>
                          <w:lang w:val="fr-FR"/>
                        </w:rPr>
                        <w:t xml:space="preserve"> Le Prospectus, le rapport annuel audité, les comptes annuels audités et le rapport semestriel non audité sont préparés pour la Société dans son ensemble</w:t>
                      </w:r>
                      <w:r>
                        <w:rPr>
                          <w:rFonts w:cs="Arial"/>
                          <w:bCs/>
                          <w:sz w:val="17"/>
                          <w:szCs w:val="17"/>
                          <w:lang w:val="fr-FR"/>
                        </w:rPr>
                        <w:t>.</w:t>
                      </w:r>
                    </w:p>
                  </w:txbxContent>
                </v:textbox>
              </v:shape>
            </w:pict>
          </mc:Fallback>
        </mc:AlternateContent>
      </w:r>
      <w:r w:rsidRPr="00F00EEE">
        <w:rPr>
          <w:noProof/>
          <w:lang w:val="de-DE" w:eastAsia="ja-JP"/>
        </w:rPr>
        <mc:AlternateContent>
          <mc:Choice Requires="wps">
            <w:drawing>
              <wp:anchor distT="0" distB="0" distL="114300" distR="114300" simplePos="0" relativeHeight="251693056" behindDoc="0" locked="0" layoutInCell="1" allowOverlap="1" wp14:anchorId="49686F48" wp14:editId="4B6E4A07">
                <wp:simplePos x="0" y="0"/>
                <wp:positionH relativeFrom="column">
                  <wp:posOffset>-463550</wp:posOffset>
                </wp:positionH>
                <wp:positionV relativeFrom="paragraph">
                  <wp:posOffset>324485</wp:posOffset>
                </wp:positionV>
                <wp:extent cx="3359150" cy="26606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121781" w14:textId="45677994"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4" w:history="1">
                              <w:r w:rsidR="009E60FF" w:rsidRPr="009A7E89">
                                <w:rPr>
                                  <w:rStyle w:val="Hyperlink"/>
                                  <w:rFonts w:cs="Arial"/>
                                  <w:sz w:val="17"/>
                                  <w:szCs w:val="17"/>
                                  <w:lang w:val="fr-FR"/>
                                </w:rPr>
                                <w:t>https://www.cqs.com/documents/regulatory-disclosures/cqs_ucits_remuneration_policy.pdf</w:t>
                              </w:r>
                            </w:hyperlink>
                            <w:r w:rsidR="009E60FF">
                              <w:rPr>
                                <w:rFonts w:cs="Arial"/>
                                <w:sz w:val="17"/>
                                <w:szCs w:val="17"/>
                                <w:lang w:val="fr-FR"/>
                              </w:rPr>
                              <w:t xml:space="preserve"> </w:t>
                            </w:r>
                            <w:r w:rsidRPr="009B78FC">
                              <w:rPr>
                                <w:rFonts w:cs="Arial"/>
                                <w:sz w:val="17"/>
                                <w:szCs w:val="17"/>
                                <w:lang w:val="fr-FR"/>
                              </w:rPr>
                              <w:t xml:space="preserve"> </w:t>
                            </w:r>
                          </w:p>
                          <w:p w14:paraId="491C81D6" w14:textId="552CD469"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5" w:history="1">
                              <w:r w:rsidR="009E60FF" w:rsidRPr="009A7E89">
                                <w:rPr>
                                  <w:rStyle w:val="Hyperlink"/>
                                  <w:rFonts w:cs="Arial"/>
                                  <w:sz w:val="17"/>
                                  <w:szCs w:val="17"/>
                                  <w:lang w:val="fr-FR"/>
                                </w:rPr>
                                <w:t>www.kbassociates.ie</w:t>
                              </w:r>
                            </w:hyperlink>
                            <w:r w:rsidR="009E60FF">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8CCC8A1"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8C48A6">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86F48" id="_x0000_s1043" type="#_x0000_t202" style="position:absolute;margin-left:-36.5pt;margin-top:25.55pt;width:264.5pt;height:2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" stroked="f">
                <v:textbox>
                  <w:txbxContent>
                    <w:p w14:paraId="58121781" w14:textId="45677994" w:rsidR="004016EA" w:rsidRPr="009B78FC" w:rsidRDefault="004016EA" w:rsidP="00DB2652">
                      <w:pPr>
                        <w:pStyle w:val="KIIDbullet1"/>
                        <w:spacing w:after="100" w:line="252" w:lineRule="auto"/>
                        <w:ind w:left="284" w:hanging="244"/>
                        <w:rPr>
                          <w:rFonts w:cs="Arial"/>
                          <w:sz w:val="17"/>
                          <w:szCs w:val="17"/>
                          <w:lang w:val="fr-FR"/>
                        </w:rPr>
                      </w:pPr>
                      <w:r w:rsidRPr="009B78FC">
                        <w:rPr>
                          <w:rFonts w:cs="Arial"/>
                          <w:sz w:val="17"/>
                          <w:szCs w:val="17"/>
                          <w:lang w:val="fr-FR"/>
                        </w:rPr>
                        <w:t xml:space="preserve">Un exemplaire de la Politique de rémunération de la Société est disponible à l'adresse </w:t>
                      </w:r>
                      <w:hyperlink r:id="rId16" w:history="1">
                        <w:r w:rsidR="009E60FF" w:rsidRPr="009A7E89">
                          <w:rPr>
                            <w:rStyle w:val="Hyperlink"/>
                            <w:rFonts w:cs="Arial"/>
                            <w:sz w:val="17"/>
                            <w:szCs w:val="17"/>
                            <w:lang w:val="fr-FR"/>
                          </w:rPr>
                          <w:t>https://www.cqs.com/documents/regulatory-disclosures/cqs_ucits_remuneration_policy.pdf</w:t>
                        </w:r>
                      </w:hyperlink>
                      <w:r w:rsidR="009E60FF">
                        <w:rPr>
                          <w:rFonts w:cs="Arial"/>
                          <w:sz w:val="17"/>
                          <w:szCs w:val="17"/>
                          <w:lang w:val="fr-FR"/>
                        </w:rPr>
                        <w:t xml:space="preserve"> </w:t>
                      </w:r>
                      <w:r w:rsidRPr="009B78FC">
                        <w:rPr>
                          <w:rFonts w:cs="Arial"/>
                          <w:sz w:val="17"/>
                          <w:szCs w:val="17"/>
                          <w:lang w:val="fr-FR"/>
                        </w:rPr>
                        <w:t xml:space="preserve"> </w:t>
                      </w:r>
                    </w:p>
                    <w:p w14:paraId="491C81D6" w14:textId="552CD469" w:rsidR="004016EA" w:rsidRPr="009B78FC" w:rsidRDefault="004016EA" w:rsidP="00DB2652">
                      <w:pPr>
                        <w:pStyle w:val="KIIDbullet1"/>
                        <w:spacing w:line="252" w:lineRule="auto"/>
                        <w:ind w:left="284" w:hanging="244"/>
                        <w:rPr>
                          <w:rFonts w:cs="Arial"/>
                          <w:sz w:val="17"/>
                          <w:szCs w:val="17"/>
                          <w:lang w:val="fr-FR"/>
                        </w:rPr>
                      </w:pPr>
                      <w:r w:rsidRPr="009B78FC">
                        <w:rPr>
                          <w:rFonts w:cs="Arial"/>
                          <w:sz w:val="17"/>
                          <w:szCs w:val="17"/>
                          <w:lang w:val="fr-FR"/>
                        </w:rPr>
                        <w:t xml:space="preserve">Des informations détaillées concernant la politique de rémunération du Gestionnaire sont disponibles sur </w:t>
                      </w:r>
                      <w:hyperlink r:id="rId17" w:history="1">
                        <w:r w:rsidR="009E60FF" w:rsidRPr="009A7E89">
                          <w:rPr>
                            <w:rStyle w:val="Hyperlink"/>
                            <w:rFonts w:cs="Arial"/>
                            <w:sz w:val="17"/>
                            <w:szCs w:val="17"/>
                            <w:lang w:val="fr-FR"/>
                          </w:rPr>
                          <w:t>www.kbassociates.ie</w:t>
                        </w:r>
                      </w:hyperlink>
                      <w:r w:rsidR="009E60FF">
                        <w:rPr>
                          <w:rFonts w:cs="Arial"/>
                          <w:sz w:val="17"/>
                          <w:szCs w:val="17"/>
                          <w:lang w:val="fr-FR"/>
                        </w:rPr>
                        <w:t xml:space="preserve"> </w:t>
                      </w:r>
                      <w:r w:rsidRPr="009B78FC">
                        <w:rPr>
                          <w:rFonts w:cs="Arial"/>
                          <w:sz w:val="17"/>
                          <w:szCs w:val="17"/>
                          <w:lang w:val="fr-FR"/>
                        </w:rPr>
                        <w:t xml:space="preserve"> Une version papier de la politique de rémunération sera disponible sans frais et sur demande.</w:t>
                      </w:r>
                    </w:p>
                    <w:p w14:paraId="65ADBDA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szCs w:val="17"/>
                          <w:lang w:val="fr-FR"/>
                        </w:rPr>
                        <w:t>Le Dépositaire est BNP Paribas Securities Services, Dublin Branch</w:t>
                      </w:r>
                      <w:r w:rsidRPr="009B78FC">
                        <w:rPr>
                          <w:rFonts w:cs="Arial"/>
                          <w:bCs/>
                          <w:sz w:val="17"/>
                          <w:szCs w:val="17"/>
                          <w:lang w:val="en-GB"/>
                        </w:rPr>
                        <w:t xml:space="preserve">. </w:t>
                      </w:r>
                    </w:p>
                    <w:p w14:paraId="555120AE" w14:textId="68CCC8A1"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 xml:space="preserve">Les informations relatives au Fonds et des exemplaires du prospectus, du supplément, du dernier rapport annuel audité, des derniers comptes annuels audités et de tout autre rapport semestriel non audité ultérieur peuvent être obtenus gratuitement, en anglais, auprès de l’agent administratif, </w:t>
                      </w:r>
                      <w:r w:rsidRPr="009B78FC">
                        <w:rPr>
                          <w:rFonts w:cs="Arial"/>
                          <w:sz w:val="17"/>
                          <w:szCs w:val="17"/>
                          <w:lang w:val="es-ES"/>
                        </w:rPr>
                        <w:t>BNP Paribas Fund Administration Services</w:t>
                      </w:r>
                      <w:r w:rsidRPr="009B78FC">
                        <w:rPr>
                          <w:sz w:val="17"/>
                          <w:lang w:val="fr-FR"/>
                        </w:rPr>
                        <w:t xml:space="preserve"> (Ireland) Limited (</w:t>
                      </w:r>
                      <w:r w:rsidRPr="009B78FC">
                        <w:rPr>
                          <w:b/>
                          <w:bCs/>
                          <w:sz w:val="17"/>
                          <w:lang w:val="fr-FR"/>
                        </w:rPr>
                        <w:t>l’Agent administratif</w:t>
                      </w:r>
                      <w:r w:rsidRPr="009B78FC">
                        <w:rPr>
                          <w:sz w:val="17"/>
                          <w:lang w:val="fr-FR"/>
                        </w:rPr>
                        <w:t>) ou du gestionnaire d’investissement, CQS (UK) LLP</w:t>
                      </w:r>
                      <w:r w:rsidR="008C48A6">
                        <w:rPr>
                          <w:sz w:val="17"/>
                          <w:lang w:val="fr-FR"/>
                        </w:rPr>
                        <w:t>.</w:t>
                      </w:r>
                    </w:p>
                    <w:p w14:paraId="245FA6D4" w14:textId="77777777" w:rsidR="004016EA" w:rsidRPr="009B78FC" w:rsidRDefault="004016EA" w:rsidP="00DB2652">
                      <w:pPr>
                        <w:pStyle w:val="KIIDbullet1"/>
                        <w:spacing w:after="80" w:line="252" w:lineRule="auto"/>
                        <w:ind w:left="284" w:hanging="244"/>
                        <w:rPr>
                          <w:rFonts w:cs="Arial"/>
                          <w:bCs/>
                          <w:sz w:val="17"/>
                          <w:szCs w:val="17"/>
                          <w:lang w:val="en-GB"/>
                        </w:rPr>
                      </w:pPr>
                      <w:r w:rsidRPr="009B78FC">
                        <w:rPr>
                          <w:sz w:val="17"/>
                          <w:lang w:val="fr-FR"/>
                        </w:rPr>
                        <w:t>Les prix de souscription et de rachat à jour peuvent être obtenus auprès de l’Agent administratif</w:t>
                      </w:r>
                      <w:r w:rsidRPr="009B78FC">
                        <w:rPr>
                          <w:rFonts w:cs="Arial"/>
                          <w:bCs/>
                          <w:sz w:val="17"/>
                          <w:szCs w:val="17"/>
                          <w:lang w:val="en-GB"/>
                        </w:rPr>
                        <w:t xml:space="preserve">.  </w:t>
                      </w:r>
                    </w:p>
                    <w:p w14:paraId="4FD794F9" w14:textId="77777777" w:rsidR="004016EA" w:rsidRPr="00A32750" w:rsidRDefault="004016EA">
                      <w:pPr>
                        <w:pStyle w:val="KIIDbullet1"/>
                        <w:numPr>
                          <w:ilvl w:val="0"/>
                          <w:numId w:val="0"/>
                        </w:numPr>
                        <w:spacing w:after="80"/>
                        <w:rPr>
                          <w:rFonts w:cs="Arial"/>
                          <w:bCs/>
                          <w:sz w:val="17"/>
                          <w:szCs w:val="17"/>
                          <w:lang w:val="en-GB"/>
                        </w:rPr>
                      </w:pPr>
                    </w:p>
                  </w:txbxContent>
                </v:textbox>
              </v:shape>
            </w:pict>
          </mc:Fallback>
        </mc:AlternateContent>
      </w:r>
    </w:p>
    <w:p w14:paraId="03DC48A2" w14:textId="7EAACD99" w:rsidR="005B6E23" w:rsidRPr="00F00EEE" w:rsidRDefault="00DA4315">
      <w:pPr>
        <w:widowControl/>
        <w:spacing w:after="160" w:line="259" w:lineRule="auto"/>
        <w:jc w:val="left"/>
        <w:rPr>
          <w:lang w:val="fr-FR"/>
        </w:rPr>
      </w:pPr>
      <w:r w:rsidRPr="00F00EEE">
        <w:rPr>
          <w:noProof/>
          <w:lang w:val="de-DE" w:eastAsia="ja-JP"/>
        </w:rPr>
        <w:drawing>
          <wp:anchor distT="0" distB="0" distL="114300" distR="114300" simplePos="0" relativeHeight="251709440" behindDoc="0" locked="0" layoutInCell="1" allowOverlap="1" wp14:anchorId="1FFC6F61" wp14:editId="3B0653AC">
            <wp:simplePos x="0" y="0"/>
            <wp:positionH relativeFrom="column">
              <wp:posOffset>4362450</wp:posOffset>
            </wp:positionH>
            <wp:positionV relativeFrom="paragraph">
              <wp:posOffset>3961765</wp:posOffset>
            </wp:positionV>
            <wp:extent cx="1369060" cy="643271"/>
            <wp:effectExtent l="0" t="0" r="254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332" cy="643399"/>
                    </a:xfrm>
                    <a:prstGeom prst="rect">
                      <a:avLst/>
                    </a:prstGeom>
                  </pic:spPr>
                </pic:pic>
              </a:graphicData>
            </a:graphic>
            <wp14:sizeRelH relativeFrom="page">
              <wp14:pctWidth>0</wp14:pctWidth>
            </wp14:sizeRelH>
            <wp14:sizeRelV relativeFrom="page">
              <wp14:pctHeight>0</wp14:pctHeight>
            </wp14:sizeRelV>
          </wp:anchor>
        </w:drawing>
      </w:r>
      <w:r w:rsidRPr="00F00EEE">
        <w:rPr>
          <w:noProof/>
          <w:lang w:val="de-DE" w:eastAsia="ja-JP"/>
        </w:rPr>
        <mc:AlternateContent>
          <mc:Choice Requires="wps">
            <w:drawing>
              <wp:anchor distT="0" distB="0" distL="114300" distR="114300" simplePos="0" relativeHeight="251695104" behindDoc="0" locked="0" layoutInCell="1" allowOverlap="1" wp14:anchorId="4246B9A2" wp14:editId="08AC0E22">
                <wp:simplePos x="0" y="0"/>
                <wp:positionH relativeFrom="column">
                  <wp:posOffset>-563880</wp:posOffset>
                </wp:positionH>
                <wp:positionV relativeFrom="paragraph">
                  <wp:posOffset>2622550</wp:posOffset>
                </wp:positionV>
                <wp:extent cx="6927850" cy="1485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0" cy="1485900"/>
                        </a:xfrm>
                        <a:prstGeom prst="rect">
                          <a:avLst/>
                        </a:prstGeom>
                        <a:noFill/>
                        <a:ln>
                          <a:noFill/>
                        </a:ln>
                        <a:extLst>
                          <a:ext uri="{909E8E84-426E-40DD-AFC4-6F175D3DCCD1}">
                            <a14:hiddenFill xmlns:a14="http://schemas.microsoft.com/office/drawing/2010/main">
                              <a:solidFill>
                                <a:srgbClr val="CCE1DA"/>
                              </a:solidFill>
                            </a14:hiddenFill>
                          </a:ext>
                          <a:ext uri="{91240B29-F687-4F45-9708-019B960494DF}">
                            <a14:hiddenLine xmlns:a14="http://schemas.microsoft.com/office/drawing/2010/main" w="9525">
                              <a:solidFill>
                                <a:srgbClr val="006747"/>
                              </a:solidFill>
                              <a:miter lim="800000"/>
                              <a:headEnd/>
                              <a:tailEnd/>
                            </a14:hiddenLine>
                          </a:ext>
                        </a:extLst>
                      </wps:spPr>
                      <wps:txbx>
                        <w:txbxContent>
                          <w:p w14:paraId="7C6BB635" w14:textId="2C6CE653" w:rsidR="004016EA" w:rsidRPr="00747243" w:rsidRDefault="004016EA" w:rsidP="008C48A6">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8C48A6">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6B9A2" id="Text Box 15" o:spid="_x0000_s1044" type="#_x0000_t202" style="position:absolute;margin-left:-44.4pt;margin-top:206.5pt;width:545.5pt;height:1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" filled="f" fillcolor="#cce1da" stroked="f" strokecolor="#006747">
                <v:textbox>
                  <w:txbxContent>
                    <w:p w14:paraId="7C6BB635" w14:textId="2C6CE653" w:rsidR="004016EA" w:rsidRPr="00747243" w:rsidRDefault="004016EA" w:rsidP="008C48A6">
                      <w:pPr>
                        <w:spacing w:line="200" w:lineRule="exact"/>
                        <w:jc w:val="left"/>
                        <w:rPr>
                          <w:rFonts w:ascii="Gill Sans MT" w:hAnsi="Gill Sans MT" w:cs="Arial"/>
                          <w:color w:val="A6A6A6"/>
                          <w:sz w:val="15"/>
                          <w:szCs w:val="15"/>
                          <w:lang w:val="fr-FR"/>
                        </w:rPr>
                      </w:pPr>
                      <w:r w:rsidRPr="00747243">
                        <w:rPr>
                          <w:rFonts w:ascii="Gill Sans MT" w:hAnsi="Gill Sans MT" w:cs="Arial"/>
                          <w:color w:val="A6A6A6"/>
                          <w:sz w:val="15"/>
                          <w:szCs w:val="15"/>
                          <w:lang w:val="fr-FR"/>
                        </w:rPr>
                        <w:t>Informations requises</w:t>
                      </w:r>
                      <w:r>
                        <w:rPr>
                          <w:rFonts w:ascii="Gill Sans MT" w:hAnsi="Gill Sans MT" w:cs="Arial"/>
                          <w:color w:val="A6A6A6"/>
                          <w:sz w:val="15"/>
                          <w:szCs w:val="15"/>
                          <w:lang w:val="fr-FR"/>
                        </w:rPr>
                        <w:t>,</w:t>
                      </w:r>
                      <w:r w:rsidRPr="00747243">
                        <w:rPr>
                          <w:rFonts w:ascii="Gill Sans MT" w:hAnsi="Gill Sans MT" w:cs="Arial"/>
                          <w:color w:val="A6A6A6"/>
                          <w:sz w:val="15"/>
                          <w:szCs w:val="15"/>
                          <w:lang w:val="fr-FR"/>
                        </w:rPr>
                        <w:t xml:space="preserve"> </w:t>
                      </w:r>
                      <w:r w:rsidRPr="002B705E">
                        <w:rPr>
                          <w:rFonts w:cs="Arial"/>
                          <w:bCs/>
                          <w:color w:val="A6A6A6"/>
                          <w:sz w:val="14"/>
                          <w:szCs w:val="14"/>
                          <w:lang w:val="en-GB"/>
                        </w:rPr>
                        <w:t>dans la mesure où elles sont applicables</w:t>
                      </w:r>
                      <w:r>
                        <w:rPr>
                          <w:rFonts w:cs="Arial"/>
                          <w:bCs/>
                          <w:color w:val="A6A6A6"/>
                          <w:sz w:val="14"/>
                          <w:szCs w:val="14"/>
                          <w:lang w:val="en-GB"/>
                        </w:rPr>
                        <w:t>,</w:t>
                      </w:r>
                      <w:r w:rsidRPr="00747243">
                        <w:rPr>
                          <w:rFonts w:ascii="Gill Sans MT" w:hAnsi="Gill Sans MT" w:cs="Arial"/>
                          <w:color w:val="A6A6A6"/>
                          <w:sz w:val="15"/>
                          <w:szCs w:val="15"/>
                          <w:lang w:val="fr-FR"/>
                        </w:rPr>
                        <w:t xml:space="preserve"> pour la distribution d’Organismes de placement collectif étrangers à des Investisseurs qualifiés en Suisse : Le représentant en Suisse est </w:t>
                      </w:r>
                      <w:r w:rsidRPr="00747243">
                        <w:rPr>
                          <w:rFonts w:cs="Arial"/>
                          <w:bCs/>
                          <w:color w:val="A6A6A6"/>
                          <w:sz w:val="14"/>
                          <w:szCs w:val="14"/>
                          <w:lang w:val="en-GB"/>
                        </w:rPr>
                        <w:t>Acolin Fund Services AG, Leutschenbachstrasse 50, CH-8050 Zurich</w:t>
                      </w:r>
                      <w:r w:rsidRPr="00747243">
                        <w:rPr>
                          <w:rFonts w:ascii="Gill Sans MT" w:hAnsi="Gill Sans MT" w:cs="Arial"/>
                          <w:color w:val="A6A6A6"/>
                          <w:sz w:val="15"/>
                          <w:szCs w:val="15"/>
                          <w:lang w:val="fr-FR"/>
                        </w:rPr>
                        <w:t xml:space="preserve">, Suisse. </w:t>
                      </w:r>
                      <w:r w:rsidRPr="003D5CDD">
                        <w:rPr>
                          <w:rFonts w:ascii="Gill Sans MT" w:hAnsi="Gill Sans MT" w:cs="Arial"/>
                          <w:color w:val="A6A6A6"/>
                          <w:sz w:val="15"/>
                          <w:szCs w:val="15"/>
                          <w:lang w:val="fr-FR"/>
                        </w:rPr>
                        <w:t>La distribution des actions du Fonds CQS concerné en Suisse sera exclusivement effectuée auprès d'investisseurs qualifiés (les « Investisseurs qualifiés »), tels que définis dans la Loi suisse sur les placements collectifs de capitaux du 23 juin 2006, telle que modifiée (« LPCC ») ainsi que son ordonnance d'application (les « Règles applicables à la distribution »). Par conséquent, le Fonds CQS concerné n'a pas été et ne sera pas enregistré auprès de l'autorité de surveillance des marchés financiers (« FINMA »).</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L’agent payeur en Suisse est </w:t>
                      </w:r>
                      <w:r w:rsidRPr="00747243">
                        <w:rPr>
                          <w:rFonts w:cs="Arial"/>
                          <w:bCs/>
                          <w:color w:val="A6A6A6"/>
                          <w:sz w:val="14"/>
                          <w:szCs w:val="14"/>
                          <w:lang w:val="en-GB"/>
                        </w:rPr>
                        <w:t>Aquila &amp; Co. AG, Bahnhofstrasse 28a, CH-8001, Zurich</w:t>
                      </w:r>
                      <w:r w:rsidRPr="00747243">
                        <w:rPr>
                          <w:rFonts w:ascii="Gill Sans MT" w:hAnsi="Gill Sans MT" w:cs="Arial"/>
                          <w:color w:val="A6A6A6"/>
                          <w:sz w:val="15"/>
                          <w:szCs w:val="15"/>
                          <w:lang w:val="fr-FR"/>
                        </w:rPr>
                        <w:t xml:space="preserve">, Suisse. Le Document d’offre </w:t>
                      </w:r>
                      <w:r>
                        <w:rPr>
                          <w:rFonts w:ascii="Gill Sans MT" w:hAnsi="Gill Sans MT" w:cs="Arial"/>
                          <w:color w:val="A6A6A6"/>
                          <w:sz w:val="15"/>
                          <w:szCs w:val="15"/>
                          <w:lang w:val="fr-FR"/>
                        </w:rPr>
                        <w:t xml:space="preserve">concerné </w:t>
                      </w:r>
                      <w:r w:rsidRPr="00747243">
                        <w:rPr>
                          <w:rFonts w:ascii="Gill Sans MT" w:hAnsi="Gill Sans MT" w:cs="Arial"/>
                          <w:color w:val="A6A6A6"/>
                          <w:sz w:val="15"/>
                          <w:szCs w:val="15"/>
                          <w:lang w:val="fr-FR"/>
                        </w:rPr>
                        <w:t>ainsi que tous les autres documents utilisés à des fins de commercialisation, y compris les rapports annuel et semestriel, le cas échéant, sont disponibles gratuitement auprès du représentant en Suisse. Le lieu d’exécution et le for judiciaire sont le siège social du représentant en Suisse pour les Actions distribuées en et depuis la Suisse. Ni CQS (UK) LLP (en tant que distributeur en Suisse) ni ses agents ne payent de rétrocessions à des parties tierces en lien avec la distribution des Actions du Fonds en ou depuis la Suisse. Ni CQS (UK) LLP (en tant que distributeur en Suisse) ni ses agents ne payent de réduction en vue de réduire les charges et frais payés par le Fonds</w:t>
                      </w:r>
                      <w:r>
                        <w:rPr>
                          <w:rFonts w:ascii="Gill Sans MT" w:hAnsi="Gill Sans MT" w:cs="Arial"/>
                          <w:color w:val="A6A6A6"/>
                          <w:sz w:val="15"/>
                          <w:szCs w:val="15"/>
                          <w:lang w:val="fr-FR"/>
                        </w:rPr>
                        <w:t xml:space="preserve"> CQS concerné</w:t>
                      </w:r>
                      <w:r w:rsidRPr="00747243">
                        <w:rPr>
                          <w:rFonts w:ascii="Gill Sans MT" w:hAnsi="Gill Sans MT" w:cs="Arial"/>
                          <w:color w:val="A6A6A6"/>
                          <w:sz w:val="15"/>
                          <w:szCs w:val="15"/>
                          <w:lang w:val="fr-FR"/>
                        </w:rPr>
                        <w:t xml:space="preserve"> et imputés aux investisseurs.</w:t>
                      </w:r>
                      <w:r>
                        <w:rPr>
                          <w:rFonts w:ascii="Gill Sans MT" w:hAnsi="Gill Sans MT" w:cs="Arial"/>
                          <w:color w:val="A6A6A6"/>
                          <w:sz w:val="15"/>
                          <w:szCs w:val="15"/>
                          <w:lang w:val="fr-FR"/>
                        </w:rPr>
                        <w:t xml:space="preserve"> </w:t>
                      </w:r>
                      <w:r w:rsidRPr="00747243">
                        <w:rPr>
                          <w:rFonts w:ascii="Gill Sans MT" w:hAnsi="Gill Sans MT" w:cs="Arial"/>
                          <w:color w:val="A6A6A6"/>
                          <w:sz w:val="15"/>
                          <w:szCs w:val="15"/>
                          <w:lang w:val="fr-FR"/>
                        </w:rPr>
                        <w:t xml:space="preserve">La Société est agréée en Irlande et réglementée par la Banque centrale d’Irlande. Les informations clés pour l’investisseur ici fournies sont exactes et à jour au </w:t>
                      </w:r>
                      <w:r w:rsidR="008C48A6">
                        <w:rPr>
                          <w:rFonts w:cs="Arial"/>
                          <w:color w:val="A6A6A6"/>
                          <w:sz w:val="14"/>
                          <w:szCs w:val="14"/>
                          <w:lang w:val="fr-FR"/>
                        </w:rPr>
                        <w:t>8 août 2022.</w:t>
                      </w:r>
                    </w:p>
                    <w:p w14:paraId="41D22610" w14:textId="18B27BF2" w:rsidR="004016EA" w:rsidRPr="00F1704F" w:rsidRDefault="004016EA" w:rsidP="00883D68">
                      <w:pPr>
                        <w:spacing w:line="200" w:lineRule="exact"/>
                        <w:jc w:val="left"/>
                        <w:rPr>
                          <w:rFonts w:cs="Arial"/>
                          <w:color w:val="A6A6A6"/>
                          <w:sz w:val="14"/>
                          <w:szCs w:val="14"/>
                        </w:rPr>
                      </w:pPr>
                    </w:p>
                  </w:txbxContent>
                </v:textbox>
              </v:shape>
            </w:pict>
          </mc:Fallback>
        </mc:AlternateContent>
      </w:r>
    </w:p>
    <w:sectPr w:rsidR="005B6E23" w:rsidRPr="00F00EEE" w:rsidSect="00283C51">
      <w:footerReference w:type="default" r:id="rId18"/>
      <w:pgSz w:w="11906" w:h="16838"/>
      <w:pgMar w:top="1440" w:right="1440"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9565B" w14:textId="77777777" w:rsidR="004016EA" w:rsidRDefault="004016EA" w:rsidP="005B6E23">
      <w:pPr>
        <w:spacing w:line="240" w:lineRule="auto"/>
      </w:pPr>
      <w:r>
        <w:separator/>
      </w:r>
    </w:p>
  </w:endnote>
  <w:endnote w:type="continuationSeparator" w:id="0">
    <w:p w14:paraId="5EE48C5E" w14:textId="77777777" w:rsidR="004016EA" w:rsidRDefault="004016EA" w:rsidP="005B6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4D24" w14:textId="46CA6B71" w:rsidR="004016EA" w:rsidRDefault="004016EA">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8C48A6">
      <w:rPr>
        <w:caps/>
        <w:noProof/>
        <w:color w:val="5B9BD5" w:themeColor="accent1"/>
      </w:rPr>
      <w:t>1</w:t>
    </w:r>
    <w:r>
      <w:rPr>
        <w:caps/>
        <w:noProof/>
        <w:color w:val="5B9BD5" w:themeColor="accent1"/>
      </w:rPr>
      <w:fldChar w:fldCharType="end"/>
    </w:r>
  </w:p>
  <w:p w14:paraId="549331D9" w14:textId="77777777" w:rsidR="004016EA" w:rsidRDefault="00401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DBBB" w14:textId="77777777" w:rsidR="004016EA" w:rsidRDefault="004016EA" w:rsidP="005B6E23">
      <w:pPr>
        <w:spacing w:line="240" w:lineRule="auto"/>
      </w:pPr>
      <w:r>
        <w:separator/>
      </w:r>
    </w:p>
  </w:footnote>
  <w:footnote w:type="continuationSeparator" w:id="0">
    <w:p w14:paraId="61CF4A37" w14:textId="77777777" w:rsidR="004016EA" w:rsidRDefault="004016EA" w:rsidP="005B6E2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47A"/>
    <w:multiLevelType w:val="hybridMultilevel"/>
    <w:tmpl w:val="05447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12596"/>
    <w:multiLevelType w:val="hybridMultilevel"/>
    <w:tmpl w:val="5E06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312B"/>
    <w:multiLevelType w:val="hybridMultilevel"/>
    <w:tmpl w:val="E2B260F0"/>
    <w:lvl w:ilvl="0" w:tplc="E3BEB2D8">
      <w:start w:val="1"/>
      <w:numFmt w:val="bullet"/>
      <w:lvlText w:val=""/>
      <w:lvlJc w:val="left"/>
      <w:pPr>
        <w:ind w:left="720" w:hanging="360"/>
      </w:pPr>
      <w:rPr>
        <w:rFonts w:ascii="Wingdings" w:hAnsi="Wingdings" w:hint="default"/>
        <w:color w:val="FFFFFF"/>
      </w:rPr>
    </w:lvl>
    <w:lvl w:ilvl="1" w:tplc="B308A8CC" w:tentative="1">
      <w:start w:val="1"/>
      <w:numFmt w:val="bullet"/>
      <w:lvlText w:val="o"/>
      <w:lvlJc w:val="left"/>
      <w:pPr>
        <w:ind w:left="1440" w:hanging="360"/>
      </w:pPr>
      <w:rPr>
        <w:rFonts w:ascii="Courier New" w:hAnsi="Courier New" w:cs="Courier New" w:hint="default"/>
      </w:rPr>
    </w:lvl>
    <w:lvl w:ilvl="2" w:tplc="3D625D1A" w:tentative="1">
      <w:start w:val="1"/>
      <w:numFmt w:val="bullet"/>
      <w:lvlText w:val=""/>
      <w:lvlJc w:val="left"/>
      <w:pPr>
        <w:ind w:left="2160" w:hanging="360"/>
      </w:pPr>
      <w:rPr>
        <w:rFonts w:ascii="Wingdings" w:hAnsi="Wingdings" w:hint="default"/>
      </w:rPr>
    </w:lvl>
    <w:lvl w:ilvl="3" w:tplc="3462E2EE" w:tentative="1">
      <w:start w:val="1"/>
      <w:numFmt w:val="bullet"/>
      <w:lvlText w:val=""/>
      <w:lvlJc w:val="left"/>
      <w:pPr>
        <w:ind w:left="2880" w:hanging="360"/>
      </w:pPr>
      <w:rPr>
        <w:rFonts w:ascii="Symbol" w:hAnsi="Symbol" w:hint="default"/>
      </w:rPr>
    </w:lvl>
    <w:lvl w:ilvl="4" w:tplc="4EE2BEC0" w:tentative="1">
      <w:start w:val="1"/>
      <w:numFmt w:val="bullet"/>
      <w:lvlText w:val="o"/>
      <w:lvlJc w:val="left"/>
      <w:pPr>
        <w:ind w:left="3600" w:hanging="360"/>
      </w:pPr>
      <w:rPr>
        <w:rFonts w:ascii="Courier New" w:hAnsi="Courier New" w:cs="Courier New" w:hint="default"/>
      </w:rPr>
    </w:lvl>
    <w:lvl w:ilvl="5" w:tplc="3EBE7054" w:tentative="1">
      <w:start w:val="1"/>
      <w:numFmt w:val="bullet"/>
      <w:lvlText w:val=""/>
      <w:lvlJc w:val="left"/>
      <w:pPr>
        <w:ind w:left="4320" w:hanging="360"/>
      </w:pPr>
      <w:rPr>
        <w:rFonts w:ascii="Wingdings" w:hAnsi="Wingdings" w:hint="default"/>
      </w:rPr>
    </w:lvl>
    <w:lvl w:ilvl="6" w:tplc="B60A0BA0" w:tentative="1">
      <w:start w:val="1"/>
      <w:numFmt w:val="bullet"/>
      <w:lvlText w:val=""/>
      <w:lvlJc w:val="left"/>
      <w:pPr>
        <w:ind w:left="5040" w:hanging="360"/>
      </w:pPr>
      <w:rPr>
        <w:rFonts w:ascii="Symbol" w:hAnsi="Symbol" w:hint="default"/>
      </w:rPr>
    </w:lvl>
    <w:lvl w:ilvl="7" w:tplc="756AE758" w:tentative="1">
      <w:start w:val="1"/>
      <w:numFmt w:val="bullet"/>
      <w:lvlText w:val="o"/>
      <w:lvlJc w:val="left"/>
      <w:pPr>
        <w:ind w:left="5760" w:hanging="360"/>
      </w:pPr>
      <w:rPr>
        <w:rFonts w:ascii="Courier New" w:hAnsi="Courier New" w:cs="Courier New" w:hint="default"/>
      </w:rPr>
    </w:lvl>
    <w:lvl w:ilvl="8" w:tplc="E29C0BB8" w:tentative="1">
      <w:start w:val="1"/>
      <w:numFmt w:val="bullet"/>
      <w:lvlText w:val=""/>
      <w:lvlJc w:val="left"/>
      <w:pPr>
        <w:ind w:left="6480" w:hanging="360"/>
      </w:pPr>
      <w:rPr>
        <w:rFonts w:ascii="Wingdings" w:hAnsi="Wingdings" w:hint="default"/>
      </w:rPr>
    </w:lvl>
  </w:abstractNum>
  <w:abstractNum w:abstractNumId="3" w15:restartNumberingAfterBreak="0">
    <w:nsid w:val="24FC01D9"/>
    <w:multiLevelType w:val="hybridMultilevel"/>
    <w:tmpl w:val="236A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821C2"/>
    <w:multiLevelType w:val="hybridMultilevel"/>
    <w:tmpl w:val="B4440BAA"/>
    <w:lvl w:ilvl="0" w:tplc="08090001">
      <w:start w:val="1"/>
      <w:numFmt w:val="bullet"/>
      <w:lvlText w:val=""/>
      <w:lvlJc w:val="left"/>
      <w:pPr>
        <w:ind w:left="720" w:hanging="360"/>
      </w:pPr>
      <w:rPr>
        <w:rFonts w:ascii="Symbol" w:hAnsi="Symbol" w:hint="default"/>
      </w:rPr>
    </w:lvl>
    <w:lvl w:ilvl="1" w:tplc="BC4436FE">
      <w:numFmt w:val="bullet"/>
      <w:lvlText w:val="•"/>
      <w:lvlJc w:val="left"/>
      <w:pPr>
        <w:ind w:left="1840" w:hanging="7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65C7C"/>
    <w:multiLevelType w:val="hybridMultilevel"/>
    <w:tmpl w:val="BBDE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39A5"/>
    <w:multiLevelType w:val="hybridMultilevel"/>
    <w:tmpl w:val="9A4CC5C4"/>
    <w:lvl w:ilvl="0" w:tplc="4FAAC002">
      <w:numFmt w:val="bullet"/>
      <w:lvlText w:val="•"/>
      <w:lvlJc w:val="left"/>
      <w:pPr>
        <w:ind w:left="1080" w:hanging="72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DB1125"/>
    <w:multiLevelType w:val="hybridMultilevel"/>
    <w:tmpl w:val="C7A826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D8C427B"/>
    <w:multiLevelType w:val="hybridMultilevel"/>
    <w:tmpl w:val="5AE809EA"/>
    <w:lvl w:ilvl="0" w:tplc="79CCE280">
      <w:start w:val="1"/>
      <w:numFmt w:val="bullet"/>
      <w:pStyle w:val="KIIDbullet1"/>
      <w:lvlText w:val=""/>
      <w:lvlJc w:val="left"/>
      <w:pPr>
        <w:ind w:left="720" w:hanging="360"/>
      </w:pPr>
      <w:rPr>
        <w:rFonts w:ascii="Wingdings" w:hAnsi="Wingdings" w:hint="default"/>
        <w:color w:val="8C89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204432">
    <w:abstractNumId w:val="7"/>
  </w:num>
  <w:num w:numId="2" w16cid:durableId="458577036">
    <w:abstractNumId w:val="8"/>
  </w:num>
  <w:num w:numId="3" w16cid:durableId="288711456">
    <w:abstractNumId w:val="2"/>
  </w:num>
  <w:num w:numId="4" w16cid:durableId="1533957450">
    <w:abstractNumId w:val="8"/>
  </w:num>
  <w:num w:numId="5" w16cid:durableId="1197354338">
    <w:abstractNumId w:val="0"/>
  </w:num>
  <w:num w:numId="6" w16cid:durableId="7290700">
    <w:abstractNumId w:val="4"/>
  </w:num>
  <w:num w:numId="7" w16cid:durableId="65882416">
    <w:abstractNumId w:val="3"/>
  </w:num>
  <w:num w:numId="8" w16cid:durableId="1459448976">
    <w:abstractNumId w:val="6"/>
  </w:num>
  <w:num w:numId="9" w16cid:durableId="434402384">
    <w:abstractNumId w:val="5"/>
  </w:num>
  <w:num w:numId="10" w16cid:durableId="144796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10"/>
    <w:rsid w:val="0000135C"/>
    <w:rsid w:val="00022F41"/>
    <w:rsid w:val="000303E2"/>
    <w:rsid w:val="00030BF2"/>
    <w:rsid w:val="000503E0"/>
    <w:rsid w:val="000769B6"/>
    <w:rsid w:val="000934DB"/>
    <w:rsid w:val="001266C0"/>
    <w:rsid w:val="00130536"/>
    <w:rsid w:val="00132C0D"/>
    <w:rsid w:val="00150151"/>
    <w:rsid w:val="001576C6"/>
    <w:rsid w:val="00162886"/>
    <w:rsid w:val="001644F3"/>
    <w:rsid w:val="00166B27"/>
    <w:rsid w:val="00172A87"/>
    <w:rsid w:val="0017638F"/>
    <w:rsid w:val="00182EA0"/>
    <w:rsid w:val="001A674C"/>
    <w:rsid w:val="001B2BEF"/>
    <w:rsid w:val="001B52DF"/>
    <w:rsid w:val="001B5511"/>
    <w:rsid w:val="001D71A7"/>
    <w:rsid w:val="001E0659"/>
    <w:rsid w:val="002006A1"/>
    <w:rsid w:val="00216272"/>
    <w:rsid w:val="00227808"/>
    <w:rsid w:val="00241528"/>
    <w:rsid w:val="00260AA8"/>
    <w:rsid w:val="00271096"/>
    <w:rsid w:val="00283C51"/>
    <w:rsid w:val="00290696"/>
    <w:rsid w:val="00296F3B"/>
    <w:rsid w:val="002A54CA"/>
    <w:rsid w:val="002B0B2B"/>
    <w:rsid w:val="002B76E9"/>
    <w:rsid w:val="002C3A76"/>
    <w:rsid w:val="002C6136"/>
    <w:rsid w:val="002D1531"/>
    <w:rsid w:val="003076FC"/>
    <w:rsid w:val="00312885"/>
    <w:rsid w:val="00316AA2"/>
    <w:rsid w:val="003206E5"/>
    <w:rsid w:val="00334609"/>
    <w:rsid w:val="003661ED"/>
    <w:rsid w:val="0037570A"/>
    <w:rsid w:val="0038249B"/>
    <w:rsid w:val="0039384F"/>
    <w:rsid w:val="003B5A50"/>
    <w:rsid w:val="003C7690"/>
    <w:rsid w:val="003E383B"/>
    <w:rsid w:val="003F4AED"/>
    <w:rsid w:val="004016EA"/>
    <w:rsid w:val="00405415"/>
    <w:rsid w:val="00406B3B"/>
    <w:rsid w:val="00411B7D"/>
    <w:rsid w:val="004173DF"/>
    <w:rsid w:val="00470786"/>
    <w:rsid w:val="00471F92"/>
    <w:rsid w:val="00482326"/>
    <w:rsid w:val="004834D4"/>
    <w:rsid w:val="00491D9D"/>
    <w:rsid w:val="00492098"/>
    <w:rsid w:val="004938B0"/>
    <w:rsid w:val="004A26CC"/>
    <w:rsid w:val="004A73AF"/>
    <w:rsid w:val="004C3B41"/>
    <w:rsid w:val="004D7DB2"/>
    <w:rsid w:val="004F53A0"/>
    <w:rsid w:val="00500CF0"/>
    <w:rsid w:val="00520715"/>
    <w:rsid w:val="005224D2"/>
    <w:rsid w:val="005321A2"/>
    <w:rsid w:val="00547654"/>
    <w:rsid w:val="00551CA0"/>
    <w:rsid w:val="005542CF"/>
    <w:rsid w:val="00564EB3"/>
    <w:rsid w:val="005B2A95"/>
    <w:rsid w:val="005B6E23"/>
    <w:rsid w:val="005D031A"/>
    <w:rsid w:val="005D7124"/>
    <w:rsid w:val="005D7254"/>
    <w:rsid w:val="00601A22"/>
    <w:rsid w:val="00603E62"/>
    <w:rsid w:val="00640079"/>
    <w:rsid w:val="00650319"/>
    <w:rsid w:val="00662DA6"/>
    <w:rsid w:val="0067277D"/>
    <w:rsid w:val="006B088E"/>
    <w:rsid w:val="00707D3D"/>
    <w:rsid w:val="0072416B"/>
    <w:rsid w:val="007355C1"/>
    <w:rsid w:val="007454E4"/>
    <w:rsid w:val="007761A6"/>
    <w:rsid w:val="00777F73"/>
    <w:rsid w:val="0078100F"/>
    <w:rsid w:val="007831CF"/>
    <w:rsid w:val="0078724B"/>
    <w:rsid w:val="007B4BEC"/>
    <w:rsid w:val="007C2529"/>
    <w:rsid w:val="007C7A66"/>
    <w:rsid w:val="007E0AFC"/>
    <w:rsid w:val="007F4CBB"/>
    <w:rsid w:val="008218A8"/>
    <w:rsid w:val="00824906"/>
    <w:rsid w:val="008304B6"/>
    <w:rsid w:val="00860C1C"/>
    <w:rsid w:val="00872332"/>
    <w:rsid w:val="00883D68"/>
    <w:rsid w:val="008843CB"/>
    <w:rsid w:val="00887AC3"/>
    <w:rsid w:val="008A3787"/>
    <w:rsid w:val="008C2A01"/>
    <w:rsid w:val="008C48A6"/>
    <w:rsid w:val="008E7B34"/>
    <w:rsid w:val="009572C4"/>
    <w:rsid w:val="009573E1"/>
    <w:rsid w:val="009813A8"/>
    <w:rsid w:val="0098667B"/>
    <w:rsid w:val="00991A1D"/>
    <w:rsid w:val="009B308D"/>
    <w:rsid w:val="009D5C18"/>
    <w:rsid w:val="009E0691"/>
    <w:rsid w:val="009E60FF"/>
    <w:rsid w:val="009E795F"/>
    <w:rsid w:val="00A0105F"/>
    <w:rsid w:val="00A06BCD"/>
    <w:rsid w:val="00A32750"/>
    <w:rsid w:val="00A35678"/>
    <w:rsid w:val="00A545B1"/>
    <w:rsid w:val="00AA1954"/>
    <w:rsid w:val="00AB14EA"/>
    <w:rsid w:val="00AB2C60"/>
    <w:rsid w:val="00AB32D7"/>
    <w:rsid w:val="00AC564D"/>
    <w:rsid w:val="00AE3529"/>
    <w:rsid w:val="00AE6FDF"/>
    <w:rsid w:val="00B03A64"/>
    <w:rsid w:val="00B14CE9"/>
    <w:rsid w:val="00B41DFE"/>
    <w:rsid w:val="00B74D10"/>
    <w:rsid w:val="00B92CCF"/>
    <w:rsid w:val="00BB4256"/>
    <w:rsid w:val="00BD0715"/>
    <w:rsid w:val="00C2285A"/>
    <w:rsid w:val="00C320A0"/>
    <w:rsid w:val="00C335ED"/>
    <w:rsid w:val="00C34FC3"/>
    <w:rsid w:val="00C92E59"/>
    <w:rsid w:val="00CA5621"/>
    <w:rsid w:val="00CB0F6B"/>
    <w:rsid w:val="00CB6720"/>
    <w:rsid w:val="00CD42A5"/>
    <w:rsid w:val="00D3149A"/>
    <w:rsid w:val="00D7328B"/>
    <w:rsid w:val="00D91E47"/>
    <w:rsid w:val="00D970B3"/>
    <w:rsid w:val="00DA4315"/>
    <w:rsid w:val="00DA7268"/>
    <w:rsid w:val="00DB2652"/>
    <w:rsid w:val="00DB7334"/>
    <w:rsid w:val="00DC13F2"/>
    <w:rsid w:val="00DC2CE9"/>
    <w:rsid w:val="00DD263A"/>
    <w:rsid w:val="00DE5EAE"/>
    <w:rsid w:val="00DF3E5A"/>
    <w:rsid w:val="00DF6DB3"/>
    <w:rsid w:val="00E0421D"/>
    <w:rsid w:val="00E46B21"/>
    <w:rsid w:val="00E658A2"/>
    <w:rsid w:val="00E7589F"/>
    <w:rsid w:val="00E86A6B"/>
    <w:rsid w:val="00E91F43"/>
    <w:rsid w:val="00EC7D6F"/>
    <w:rsid w:val="00ED0F4D"/>
    <w:rsid w:val="00EE3310"/>
    <w:rsid w:val="00EF23F3"/>
    <w:rsid w:val="00F000DE"/>
    <w:rsid w:val="00F00EEE"/>
    <w:rsid w:val="00F0299D"/>
    <w:rsid w:val="00F15A75"/>
    <w:rsid w:val="00F17EBD"/>
    <w:rsid w:val="00F631E3"/>
    <w:rsid w:val="00F74342"/>
    <w:rsid w:val="00F803CA"/>
    <w:rsid w:val="00FA0149"/>
    <w:rsid w:val="00FB0C87"/>
    <w:rsid w:val="00FE2606"/>
    <w:rsid w:val="00FE72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B789"/>
  <w15:chartTrackingRefBased/>
  <w15:docId w15:val="{07AE94F1-AB83-4C13-B87F-6F1981BEF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D10"/>
    <w:pPr>
      <w:widowControl w:val="0"/>
      <w:spacing w:after="0" w:line="360" w:lineRule="auto"/>
      <w:jc w:val="both"/>
    </w:pPr>
    <w:rPr>
      <w:rFonts w:ascii="Arial" w:eastAsia="Times New Roman" w:hAnsi="Arial" w:cs="Times New Roman"/>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D10"/>
    <w:pPr>
      <w:ind w:left="720"/>
      <w:contextualSpacing/>
    </w:pPr>
  </w:style>
  <w:style w:type="paragraph" w:customStyle="1" w:styleId="BoldSubHead">
    <w:name w:val="Bold Sub Head"/>
    <w:basedOn w:val="Normal"/>
    <w:qFormat/>
    <w:rsid w:val="00CD42A5"/>
    <w:pPr>
      <w:widowControl/>
      <w:spacing w:before="420" w:after="120" w:line="200" w:lineRule="exact"/>
      <w:jc w:val="left"/>
    </w:pPr>
    <w:rPr>
      <w:rFonts w:eastAsia="Calibri"/>
      <w:b/>
      <w:bCs/>
      <w:caps/>
      <w:color w:val="006747"/>
      <w:spacing w:val="7"/>
      <w:sz w:val="21"/>
      <w:szCs w:val="22"/>
      <w:lang w:val="en-GB"/>
    </w:rPr>
  </w:style>
  <w:style w:type="paragraph" w:customStyle="1" w:styleId="KIIDtext1">
    <w:name w:val="KIID text 1"/>
    <w:basedOn w:val="Normal"/>
    <w:qFormat/>
    <w:rsid w:val="00CD42A5"/>
    <w:pPr>
      <w:spacing w:after="120" w:line="240" w:lineRule="exact"/>
      <w:jc w:val="left"/>
    </w:pPr>
    <w:rPr>
      <w:color w:val="5F5F5F"/>
      <w:sz w:val="18"/>
      <w:szCs w:val="18"/>
    </w:rPr>
  </w:style>
  <w:style w:type="paragraph" w:customStyle="1" w:styleId="KIIDbullet1">
    <w:name w:val="KIID bullet 1"/>
    <w:basedOn w:val="KIIDtext1"/>
    <w:qFormat/>
    <w:rsid w:val="00CD42A5"/>
    <w:pPr>
      <w:numPr>
        <w:numId w:val="2"/>
      </w:numPr>
    </w:pPr>
    <w:rPr>
      <w:rFonts w:ascii="Gill Sans MT" w:hAnsi="Gill Sans MT"/>
    </w:rPr>
  </w:style>
  <w:style w:type="paragraph" w:styleId="Header">
    <w:name w:val="header"/>
    <w:basedOn w:val="Normal"/>
    <w:link w:val="HeaderChar"/>
    <w:uiPriority w:val="99"/>
    <w:unhideWhenUsed/>
    <w:rsid w:val="005B6E23"/>
    <w:pPr>
      <w:tabs>
        <w:tab w:val="center" w:pos="4513"/>
        <w:tab w:val="right" w:pos="9026"/>
      </w:tabs>
      <w:spacing w:line="240" w:lineRule="auto"/>
    </w:pPr>
  </w:style>
  <w:style w:type="character" w:customStyle="1" w:styleId="HeaderChar">
    <w:name w:val="Header Char"/>
    <w:basedOn w:val="DefaultParagraphFont"/>
    <w:link w:val="Header"/>
    <w:uiPriority w:val="99"/>
    <w:rsid w:val="005B6E23"/>
    <w:rPr>
      <w:rFonts w:ascii="Arial" w:eastAsia="Times New Roman" w:hAnsi="Arial" w:cs="Times New Roman"/>
      <w:sz w:val="20"/>
      <w:szCs w:val="20"/>
      <w:lang w:val="en-IE"/>
    </w:rPr>
  </w:style>
  <w:style w:type="paragraph" w:styleId="Footer">
    <w:name w:val="footer"/>
    <w:basedOn w:val="Normal"/>
    <w:link w:val="FooterChar"/>
    <w:uiPriority w:val="99"/>
    <w:unhideWhenUsed/>
    <w:rsid w:val="005B6E23"/>
    <w:pPr>
      <w:tabs>
        <w:tab w:val="center" w:pos="4513"/>
        <w:tab w:val="right" w:pos="9026"/>
      </w:tabs>
      <w:spacing w:line="240" w:lineRule="auto"/>
    </w:pPr>
  </w:style>
  <w:style w:type="character" w:customStyle="1" w:styleId="FooterChar">
    <w:name w:val="Footer Char"/>
    <w:basedOn w:val="DefaultParagraphFont"/>
    <w:link w:val="Footer"/>
    <w:uiPriority w:val="99"/>
    <w:rsid w:val="005B6E23"/>
    <w:rPr>
      <w:rFonts w:ascii="Arial" w:eastAsia="Times New Roman" w:hAnsi="Arial" w:cs="Times New Roman"/>
      <w:sz w:val="20"/>
      <w:szCs w:val="20"/>
      <w:lang w:val="en-IE"/>
    </w:rPr>
  </w:style>
  <w:style w:type="paragraph" w:styleId="BalloonText">
    <w:name w:val="Balloon Text"/>
    <w:basedOn w:val="Normal"/>
    <w:link w:val="BalloonTextChar"/>
    <w:uiPriority w:val="99"/>
    <w:semiHidden/>
    <w:unhideWhenUsed/>
    <w:rsid w:val="00FE72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266"/>
    <w:rPr>
      <w:rFonts w:ascii="Segoe UI" w:eastAsia="Times New Roman" w:hAnsi="Segoe UI" w:cs="Segoe UI"/>
      <w:sz w:val="18"/>
      <w:szCs w:val="18"/>
      <w:lang w:val="en-IE"/>
    </w:rPr>
  </w:style>
  <w:style w:type="character" w:styleId="Hyperlink">
    <w:name w:val="Hyperlink"/>
    <w:basedOn w:val="DefaultParagraphFont"/>
    <w:uiPriority w:val="99"/>
    <w:unhideWhenUsed/>
    <w:rsid w:val="00471F92"/>
    <w:rPr>
      <w:color w:val="0563C1"/>
      <w:u w:val="single"/>
    </w:rPr>
  </w:style>
  <w:style w:type="table" w:styleId="TableGrid">
    <w:name w:val="Table Grid"/>
    <w:basedOn w:val="TableNormal"/>
    <w:uiPriority w:val="39"/>
    <w:rsid w:val="0016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91F43"/>
    <w:rPr>
      <w:color w:val="605E5C"/>
      <w:shd w:val="clear" w:color="auto" w:fill="E1DFDD"/>
    </w:rPr>
  </w:style>
  <w:style w:type="character" w:styleId="CommentReference">
    <w:name w:val="annotation reference"/>
    <w:basedOn w:val="DefaultParagraphFont"/>
    <w:uiPriority w:val="99"/>
    <w:semiHidden/>
    <w:unhideWhenUsed/>
    <w:rsid w:val="005B2A95"/>
    <w:rPr>
      <w:sz w:val="16"/>
      <w:szCs w:val="16"/>
    </w:rPr>
  </w:style>
  <w:style w:type="paragraph" w:styleId="CommentText">
    <w:name w:val="annotation text"/>
    <w:basedOn w:val="Normal"/>
    <w:link w:val="CommentTextChar"/>
    <w:uiPriority w:val="99"/>
    <w:semiHidden/>
    <w:unhideWhenUsed/>
    <w:rsid w:val="005B2A95"/>
    <w:pPr>
      <w:spacing w:line="240" w:lineRule="auto"/>
    </w:pPr>
  </w:style>
  <w:style w:type="character" w:customStyle="1" w:styleId="CommentTextChar">
    <w:name w:val="Comment Text Char"/>
    <w:basedOn w:val="DefaultParagraphFont"/>
    <w:link w:val="CommentText"/>
    <w:uiPriority w:val="99"/>
    <w:semiHidden/>
    <w:rsid w:val="005B2A95"/>
    <w:rPr>
      <w:rFonts w:ascii="Arial" w:eastAsia="Times New Roman" w:hAnsi="Arial"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5B2A95"/>
    <w:rPr>
      <w:b/>
      <w:bCs/>
    </w:rPr>
  </w:style>
  <w:style w:type="character" w:customStyle="1" w:styleId="CommentSubjectChar">
    <w:name w:val="Comment Subject Char"/>
    <w:basedOn w:val="CommentTextChar"/>
    <w:link w:val="CommentSubject"/>
    <w:uiPriority w:val="99"/>
    <w:semiHidden/>
    <w:rsid w:val="005B2A95"/>
    <w:rPr>
      <w:rFonts w:ascii="Arial" w:eastAsia="Times New Roman" w:hAnsi="Arial" w:cs="Times New Roman"/>
      <w:b/>
      <w:bCs/>
      <w:sz w:val="20"/>
      <w:szCs w:val="20"/>
      <w:lang w:val="en-IE"/>
    </w:rPr>
  </w:style>
  <w:style w:type="character" w:styleId="UnresolvedMention">
    <w:name w:val="Unresolved Mention"/>
    <w:basedOn w:val="DefaultParagraphFont"/>
    <w:uiPriority w:val="99"/>
    <w:semiHidden/>
    <w:unhideWhenUsed/>
    <w:rsid w:val="009E6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4632">
      <w:bodyDiv w:val="1"/>
      <w:marLeft w:val="0"/>
      <w:marRight w:val="0"/>
      <w:marTop w:val="0"/>
      <w:marBottom w:val="0"/>
      <w:divBdr>
        <w:top w:val="none" w:sz="0" w:space="0" w:color="auto"/>
        <w:left w:val="none" w:sz="0" w:space="0" w:color="auto"/>
        <w:bottom w:val="none" w:sz="0" w:space="0" w:color="auto"/>
        <w:right w:val="none" w:sz="0" w:space="0" w:color="auto"/>
      </w:divBdr>
    </w:div>
    <w:div w:id="208588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qs.com/documents/funds/uscb/supporting-docs/prospectus-cqs-funds-ireland-plc-28.01.2022.pdf" TargetMode="External"/><Relationship Id="rId17" Type="http://schemas.openxmlformats.org/officeDocument/2006/relationships/hyperlink" Target="http://www.kbassociates.ie" TargetMode="External"/><Relationship Id="rId2" Type="http://schemas.openxmlformats.org/officeDocument/2006/relationships/customXml" Target="../customXml/item2.xml"/><Relationship Id="rId16" Type="http://schemas.openxmlformats.org/officeDocument/2006/relationships/hyperlink" Target="https://www.cqs.com/documents/regulatory-disclosures/cqs_ucits_remuneration_policy.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qs.com/documents/funds/uscb/supporting-docs/prospectus-cqs-funds-ireland-plc-28.01.2022.pdf" TargetMode="External"/><Relationship Id="rId5" Type="http://schemas.openxmlformats.org/officeDocument/2006/relationships/styles" Target="styles.xml"/><Relationship Id="rId15" Type="http://schemas.openxmlformats.org/officeDocument/2006/relationships/hyperlink" Target="http://www.kbassociates.i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qs.com/documents/regulatory-disclosures/cqs_ucits_remuneration_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BE40D9CBB0CD4797B537C933D9AE3F" ma:contentTypeVersion="11" ma:contentTypeDescription="Create a new document." ma:contentTypeScope="" ma:versionID="c01b51b68ad53fa953dc052900c14b25">
  <xsd:schema xmlns:xsd="http://www.w3.org/2001/XMLSchema" xmlns:xs="http://www.w3.org/2001/XMLSchema" xmlns:p="http://schemas.microsoft.com/office/2006/metadata/properties" xmlns:ns3="6387cef6-eeba-41d4-a738-47d0c935cae5" xmlns:ns4="73b8a697-71b7-4e62-afb6-a849b7beb242" targetNamespace="http://schemas.microsoft.com/office/2006/metadata/properties" ma:root="true" ma:fieldsID="4ac04c22f209414c599e4d87a280da7d" ns3:_="" ns4:_="">
    <xsd:import namespace="6387cef6-eeba-41d4-a738-47d0c935cae5"/>
    <xsd:import namespace="73b8a697-71b7-4e62-afb6-a849b7beb2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7cef6-eeba-41d4-a738-47d0c935c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b8a697-71b7-4e62-afb6-a849b7beb2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D9F08-8F92-407D-8B92-CC8B1FF8B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7cef6-eeba-41d4-a738-47d0c935cae5"/>
    <ds:schemaRef ds:uri="73b8a697-71b7-4e62-afb6-a849b7beb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CE67-07B9-4569-A7B2-2E1588538CFD}">
  <ds:schemaRefs>
    <ds:schemaRef ds:uri="http://purl.org/dc/dcmitype/"/>
    <ds:schemaRef ds:uri="http://purl.org/dc/terms/"/>
    <ds:schemaRef ds:uri="http://purl.org/dc/elements/1.1/"/>
    <ds:schemaRef ds:uri="http://www.w3.org/XML/1998/namespace"/>
    <ds:schemaRef ds:uri="http://schemas.microsoft.com/office/2006/documentManagement/types"/>
    <ds:schemaRef ds:uri="73b8a697-71b7-4e62-afb6-a849b7beb242"/>
    <ds:schemaRef ds:uri="6387cef6-eeba-41d4-a738-47d0c935cae5"/>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DB12811-678C-4D5E-ABA2-5414423A8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 Simon</cp:lastModifiedBy>
  <cp:revision>32</cp:revision>
  <cp:lastPrinted>2022-03-14T12:29:00Z</cp:lastPrinted>
  <dcterms:created xsi:type="dcterms:W3CDTF">2022-06-13T09:11:00Z</dcterms:created>
  <dcterms:modified xsi:type="dcterms:W3CDTF">2022-11-01T11:05:00Z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0x01010087BE40D9CBB0CD4797B537C933D9AE3F</vt:lpwstr>
  </property>
</Properties>
</file>