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270AA3DF" w:rsidR="005B6E23" w:rsidRDefault="00E7589F" w:rsidP="005B6E23">
      <w:r>
        <w:rPr>
          <w:noProof/>
          <w:lang w:val="en-GB" w:eastAsia="en-GB"/>
        </w:rPr>
        <w:drawing>
          <wp:anchor distT="0" distB="0" distL="114300" distR="114300" simplePos="0" relativeHeight="251703296" behindDoc="0" locked="0" layoutInCell="1" allowOverlap="1" wp14:anchorId="773F256F" wp14:editId="4C8C037E">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5B6E23">
        <w:rPr>
          <w:noProof/>
          <w:color w:val="000000"/>
          <w:lang w:val="en-GB" w:eastAsia="en-GB"/>
        </w:rPr>
        <mc:AlternateContent>
          <mc:Choice Requires="wps">
            <w:drawing>
              <wp:anchor distT="0" distB="0" distL="114300" distR="114300" simplePos="0" relativeHeight="251661312" behindDoc="0" locked="0" layoutInCell="1" allowOverlap="1" wp14:anchorId="34CD893F" wp14:editId="65ED3019">
                <wp:simplePos x="0" y="0"/>
                <wp:positionH relativeFrom="page">
                  <wp:align>left</wp:align>
                </wp:positionH>
                <wp:positionV relativeFrom="paragraph">
                  <wp:posOffset>442595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3219E" id="_x0000_t32" coordsize="21600,21600" o:spt="32" o:oned="t" path="m,l21600,21600e" filled="f">
                <v:path arrowok="t" fillok="f" o:connecttype="none"/>
                <o:lock v:ext="edit" shapetype="t"/>
              </v:shapetype>
              <v:shape id="AutoShape 94" o:spid="_x0000_s1026" type="#_x0000_t32" style="position:absolute;margin-left:0;margin-top:34.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" strokecolor="#006747" strokeweight="2pt">
                <w10:wrap anchorx="page"/>
              </v:shape>
            </w:pict>
          </mc:Fallback>
        </mc:AlternateContent>
      </w:r>
      <w:r w:rsidR="005B6E23">
        <w:rPr>
          <w:noProof/>
          <w:lang w:val="en-GB" w:eastAsia="en-GB"/>
        </w:rPr>
        <mc:AlternateContent>
          <mc:Choice Requires="wps">
            <w:drawing>
              <wp:anchor distT="0" distB="0" distL="114300" distR="114300" simplePos="0" relativeHeight="251659264" behindDoc="0" locked="0" layoutInCell="1" allowOverlap="1" wp14:anchorId="28A12853" wp14:editId="461D829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" fillcolor="#cce1da" stroked="f" strokecolor="#006747" strokeweight="1pt">
                <v:textbo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v:textbox>
              </v:shape>
            </w:pict>
          </mc:Fallback>
        </mc:AlternateContent>
      </w:r>
    </w:p>
    <w:p w14:paraId="5535904C" w14:textId="1ABD567F" w:rsidR="005B6E23" w:rsidRDefault="00166B27">
      <w:r>
        <w:rPr>
          <w:noProof/>
          <w:lang w:val="en-GB" w:eastAsia="en-GB"/>
        </w:rPr>
        <mc:AlternateContent>
          <mc:Choice Requires="wps">
            <w:drawing>
              <wp:anchor distT="0" distB="0" distL="114300" distR="114300" simplePos="0" relativeHeight="251662336" behindDoc="0" locked="0" layoutInCell="1" allowOverlap="1" wp14:anchorId="42E03D93" wp14:editId="45E766BD">
                <wp:simplePos x="0" y="0"/>
                <wp:positionH relativeFrom="page">
                  <wp:posOffset>238125</wp:posOffset>
                </wp:positionH>
                <wp:positionV relativeFrom="paragraph">
                  <wp:posOffset>247650</wp:posOffset>
                </wp:positionV>
                <wp:extent cx="6965950" cy="138112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8112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r>
                              <w:rPr>
                                <w:rFonts w:cs="Arial"/>
                                <w:b/>
                                <w:bCs/>
                                <w:color w:val="FFFFFF"/>
                                <w:sz w:val="30"/>
                                <w:szCs w:val="30"/>
                                <w:lang w:val="en-US"/>
                              </w:rPr>
                              <w:t xml:space="preserve">Salar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F04B91" w14:paraId="08CC9FD5" w14:textId="77777777" w:rsidTr="005D7124">
                              <w:trPr>
                                <w:trHeight w:val="345"/>
                                <w:jc w:val="center"/>
                              </w:trPr>
                              <w:tc>
                                <w:tcPr>
                                  <w:tcW w:w="5383" w:type="dxa"/>
                                </w:tcPr>
                                <w:p w14:paraId="563A7171" w14:textId="12AE4492" w:rsidR="00F04B91" w:rsidRPr="005D7124" w:rsidRDefault="00F04B91" w:rsidP="00F04B91">
                                  <w:pPr>
                                    <w:spacing w:after="80" w:line="300" w:lineRule="exact"/>
                                    <w:jc w:val="left"/>
                                    <w:rPr>
                                      <w:rFonts w:cs="Arial"/>
                                      <w:color w:val="FFFFFF"/>
                                      <w:sz w:val="24"/>
                                      <w:szCs w:val="25"/>
                                    </w:rPr>
                                  </w:pPr>
                                  <w:r w:rsidRPr="00F04B91">
                                    <w:rPr>
                                      <w:rFonts w:cs="Arial"/>
                                      <w:color w:val="FFFFFF"/>
                                      <w:sz w:val="24"/>
                                      <w:szCs w:val="25"/>
                                    </w:rPr>
                                    <w:t>Class E2 Acc GBP (ISIN:IE00B51ZKG48)</w:t>
                                  </w:r>
                                </w:p>
                              </w:tc>
                              <w:tc>
                                <w:tcPr>
                                  <w:tcW w:w="5452" w:type="dxa"/>
                                </w:tcPr>
                                <w:p w14:paraId="1B1ED48B" w14:textId="288A112B" w:rsidR="00F04B91" w:rsidRPr="005D7124" w:rsidRDefault="00F04B91" w:rsidP="00F04B91">
                                  <w:pPr>
                                    <w:spacing w:after="80" w:line="300" w:lineRule="exact"/>
                                    <w:jc w:val="left"/>
                                    <w:rPr>
                                      <w:rFonts w:cs="Arial"/>
                                      <w:color w:val="FFFFFF"/>
                                      <w:sz w:val="24"/>
                                      <w:szCs w:val="25"/>
                                    </w:rPr>
                                  </w:pPr>
                                  <w:r w:rsidRPr="00F04B91">
                                    <w:rPr>
                                      <w:rFonts w:cs="Arial"/>
                                      <w:color w:val="FFFFFF"/>
                                      <w:sz w:val="24"/>
                                      <w:szCs w:val="25"/>
                                    </w:rPr>
                                    <w:t>Class E2 Acc EUR (ISIN:IE00B520G822)</w:t>
                                  </w:r>
                                </w:p>
                              </w:tc>
                            </w:tr>
                            <w:tr w:rsidR="002B0B2B" w14:paraId="55C73248" w14:textId="77777777" w:rsidTr="005D7124">
                              <w:trPr>
                                <w:trHeight w:val="345"/>
                                <w:jc w:val="center"/>
                              </w:trPr>
                              <w:tc>
                                <w:tcPr>
                                  <w:tcW w:w="5383" w:type="dxa"/>
                                </w:tcPr>
                                <w:p w14:paraId="2B664235" w14:textId="7F1AE7DB" w:rsidR="002B0B2B" w:rsidRPr="005D7124" w:rsidRDefault="00F04B91" w:rsidP="00F04B91">
                                  <w:pPr>
                                    <w:spacing w:after="80" w:line="300" w:lineRule="exact"/>
                                    <w:jc w:val="left"/>
                                    <w:rPr>
                                      <w:rFonts w:cs="Arial"/>
                                      <w:color w:val="FFFFFF"/>
                                      <w:sz w:val="24"/>
                                      <w:szCs w:val="25"/>
                                    </w:rPr>
                                  </w:pPr>
                                  <w:r w:rsidRPr="00F04B91">
                                    <w:rPr>
                                      <w:rFonts w:cs="Arial"/>
                                      <w:color w:val="FFFFFF"/>
                                      <w:sz w:val="24"/>
                                      <w:szCs w:val="25"/>
                                    </w:rPr>
                                    <w:t>Class E2 Acc USD (ISIN:IE00B51ZK080)</w:t>
                                  </w:r>
                                </w:p>
                              </w:tc>
                              <w:tc>
                                <w:tcPr>
                                  <w:tcW w:w="5452" w:type="dxa"/>
                                </w:tcPr>
                                <w:p w14:paraId="0D06B7D6" w14:textId="463DB21F" w:rsidR="002B0B2B" w:rsidRPr="005D7124" w:rsidRDefault="002B0B2B"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9.5pt;width:548.5pt;height:10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" fillcolor="#006747" stroked="f">
                <v:textbox inset="3.5mm,3.3mm,3.5mm,3.3mm">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r>
                        <w:rPr>
                          <w:rFonts w:cs="Arial"/>
                          <w:b/>
                          <w:bCs/>
                          <w:color w:val="FFFFFF"/>
                          <w:sz w:val="30"/>
                          <w:szCs w:val="30"/>
                          <w:lang w:val="en-US"/>
                        </w:rPr>
                        <w:t xml:space="preserve">Salar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F04B91" w14:paraId="08CC9FD5" w14:textId="77777777" w:rsidTr="005D7124">
                        <w:trPr>
                          <w:trHeight w:val="345"/>
                          <w:jc w:val="center"/>
                        </w:trPr>
                        <w:tc>
                          <w:tcPr>
                            <w:tcW w:w="5383" w:type="dxa"/>
                          </w:tcPr>
                          <w:p w14:paraId="563A7171" w14:textId="12AE4492" w:rsidR="00F04B91" w:rsidRPr="005D7124" w:rsidRDefault="00F04B91" w:rsidP="00F04B91">
                            <w:pPr>
                              <w:spacing w:after="80" w:line="300" w:lineRule="exact"/>
                              <w:jc w:val="left"/>
                              <w:rPr>
                                <w:rFonts w:cs="Arial"/>
                                <w:color w:val="FFFFFF"/>
                                <w:sz w:val="24"/>
                                <w:szCs w:val="25"/>
                              </w:rPr>
                            </w:pPr>
                            <w:r w:rsidRPr="00F04B91">
                              <w:rPr>
                                <w:rFonts w:cs="Arial"/>
                                <w:color w:val="FFFFFF"/>
                                <w:sz w:val="24"/>
                                <w:szCs w:val="25"/>
                              </w:rPr>
                              <w:t>Class E2 Acc GBP (ISIN:IE00B51ZKG48)</w:t>
                            </w:r>
                          </w:p>
                        </w:tc>
                        <w:tc>
                          <w:tcPr>
                            <w:tcW w:w="5452" w:type="dxa"/>
                          </w:tcPr>
                          <w:p w14:paraId="1B1ED48B" w14:textId="288A112B" w:rsidR="00F04B91" w:rsidRPr="005D7124" w:rsidRDefault="00F04B91" w:rsidP="00F04B91">
                            <w:pPr>
                              <w:spacing w:after="80" w:line="300" w:lineRule="exact"/>
                              <w:jc w:val="left"/>
                              <w:rPr>
                                <w:rFonts w:cs="Arial"/>
                                <w:color w:val="FFFFFF"/>
                                <w:sz w:val="24"/>
                                <w:szCs w:val="25"/>
                              </w:rPr>
                            </w:pPr>
                            <w:r w:rsidRPr="00F04B91">
                              <w:rPr>
                                <w:rFonts w:cs="Arial"/>
                                <w:color w:val="FFFFFF"/>
                                <w:sz w:val="24"/>
                                <w:szCs w:val="25"/>
                              </w:rPr>
                              <w:t>Class E2 Acc EUR (ISIN:IE00B520G822)</w:t>
                            </w:r>
                          </w:p>
                        </w:tc>
                      </w:tr>
                      <w:tr w:rsidR="002B0B2B" w14:paraId="55C73248" w14:textId="77777777" w:rsidTr="005D7124">
                        <w:trPr>
                          <w:trHeight w:val="345"/>
                          <w:jc w:val="center"/>
                        </w:trPr>
                        <w:tc>
                          <w:tcPr>
                            <w:tcW w:w="5383" w:type="dxa"/>
                          </w:tcPr>
                          <w:p w14:paraId="2B664235" w14:textId="7F1AE7DB" w:rsidR="002B0B2B" w:rsidRPr="005D7124" w:rsidRDefault="00F04B91" w:rsidP="00F04B91">
                            <w:pPr>
                              <w:spacing w:after="80" w:line="300" w:lineRule="exact"/>
                              <w:jc w:val="left"/>
                              <w:rPr>
                                <w:rFonts w:cs="Arial"/>
                                <w:color w:val="FFFFFF"/>
                                <w:sz w:val="24"/>
                                <w:szCs w:val="25"/>
                              </w:rPr>
                            </w:pPr>
                            <w:r w:rsidRPr="00F04B91">
                              <w:rPr>
                                <w:rFonts w:cs="Arial"/>
                                <w:color w:val="FFFFFF"/>
                                <w:sz w:val="24"/>
                                <w:szCs w:val="25"/>
                              </w:rPr>
                              <w:t>Class E2 Acc USD (ISIN:IE00B51ZK080)</w:t>
                            </w:r>
                          </w:p>
                        </w:tc>
                        <w:tc>
                          <w:tcPr>
                            <w:tcW w:w="5452" w:type="dxa"/>
                          </w:tcPr>
                          <w:p w14:paraId="0D06B7D6" w14:textId="463DB21F" w:rsidR="002B0B2B" w:rsidRPr="005D7124" w:rsidRDefault="002B0B2B"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1447CD69" w:rsidR="005B6E23" w:rsidRDefault="00F04B91">
      <w:pPr>
        <w:widowControl/>
        <w:spacing w:after="160" w:line="259" w:lineRule="auto"/>
        <w:jc w:val="left"/>
      </w:pPr>
      <w:r>
        <w:rPr>
          <w:noProof/>
          <w:lang w:val="en-GB" w:eastAsia="en-GB"/>
        </w:rPr>
        <mc:AlternateContent>
          <mc:Choice Requires="wps">
            <w:drawing>
              <wp:anchor distT="0" distB="0" distL="114300" distR="114300" simplePos="0" relativeHeight="251663360" behindDoc="0" locked="0" layoutInCell="1" allowOverlap="1" wp14:anchorId="16C457A2" wp14:editId="043F0C08">
                <wp:simplePos x="0" y="0"/>
                <wp:positionH relativeFrom="column">
                  <wp:posOffset>-681990</wp:posOffset>
                </wp:positionH>
                <wp:positionV relativeFrom="paragraph">
                  <wp:posOffset>1407795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8" type="#_x0000_t202" style="position:absolute;margin-left:-53.7pt;margin-top:110.8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" stroked="f">
                <v:textbo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2B2EE4E4" wp14:editId="49A32B94">
                <wp:simplePos x="0" y="0"/>
                <wp:positionH relativeFrom="column">
                  <wp:posOffset>-669290</wp:posOffset>
                </wp:positionH>
                <wp:positionV relativeFrom="paragraph">
                  <wp:posOffset>1571625</wp:posOffset>
                </wp:positionV>
                <wp:extent cx="3437255"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9" type="#_x0000_t202" style="position:absolute;margin-left:-52.7pt;margin-top:123.75pt;width:270.6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" stroked="f">
                <v:textbo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09804B6A" wp14:editId="6EF2A12B">
                <wp:simplePos x="0" y="0"/>
                <wp:positionH relativeFrom="column">
                  <wp:posOffset>2676525</wp:posOffset>
                </wp:positionH>
                <wp:positionV relativeFrom="paragraph">
                  <wp:posOffset>1562100</wp:posOffset>
                </wp:positionV>
                <wp:extent cx="3650615" cy="25908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The value of the Fund is calculated and published daily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0" type="#_x0000_t202" style="position:absolute;margin-left:210.75pt;margin-top:123pt;width:287.4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" stroked="f">
                <v:textbo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The value of the Fund is calculated and published daily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v:textbox>
              </v:shape>
            </w:pict>
          </mc:Fallback>
        </mc:AlternateContent>
      </w:r>
      <w:r>
        <w:rPr>
          <w:noProof/>
          <w:color w:val="000000"/>
          <w:lang w:val="en-GB" w:eastAsia="en-GB"/>
        </w:rPr>
        <mc:AlternateContent>
          <mc:Choice Requires="wps">
            <w:drawing>
              <wp:anchor distT="0" distB="0" distL="114300" distR="114300" simplePos="0" relativeHeight="251666432" behindDoc="0" locked="0" layoutInCell="1" allowOverlap="1" wp14:anchorId="1C3FD5D8" wp14:editId="29CB95B0">
                <wp:simplePos x="0" y="0"/>
                <wp:positionH relativeFrom="margin">
                  <wp:posOffset>-568960</wp:posOffset>
                </wp:positionH>
                <wp:positionV relativeFrom="paragraph">
                  <wp:posOffset>4175125</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88093" id="_x0000_t32" coordsize="21600,21600" o:spt="32" o:oned="t" path="m,l21600,21600e" filled="f">
                <v:path arrowok="t" fillok="f" o:connecttype="none"/>
                <o:lock v:ext="edit" shapetype="t"/>
              </v:shapetype>
              <v:shape id="AutoShape 101" o:spid="_x0000_s1026" type="#_x0000_t32" style="position:absolute;margin-left:-44.8pt;margin-top:328.7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" strokecolor="#006747">
                <w10:wrap anchorx="margin"/>
              </v:shape>
            </w:pict>
          </mc:Fallback>
        </mc:AlternateContent>
      </w:r>
      <w:r w:rsidR="00E91F43">
        <w:rPr>
          <w:noProof/>
          <w:lang w:val="en-GB" w:eastAsia="en-GB"/>
        </w:rPr>
        <mc:AlternateContent>
          <mc:Choice Requires="wps">
            <w:drawing>
              <wp:anchor distT="0" distB="0" distL="114300" distR="114300" simplePos="0" relativeHeight="251668480" behindDoc="0" locked="0" layoutInCell="1" allowOverlap="1" wp14:anchorId="775DDF5F" wp14:editId="113797A2">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merging markets are likely to bear higher risk due to lower liquidity and possible lack of adequate financial, legal, social, political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as a result of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63F1711B" w:rsidR="00EC7D6F" w:rsidRPr="00EC7D6F" w:rsidRDefault="00EC7D6F" w:rsidP="00EC7D6F">
                            <w:pPr>
                              <w:pStyle w:val="KIIDtext1"/>
                              <w:rPr>
                                <w:rFonts w:cs="Arial"/>
                                <w:sz w:val="17"/>
                                <w:lang w:val="en-GB"/>
                              </w:rPr>
                            </w:pPr>
                            <w:r w:rsidRPr="00EC7D6F">
                              <w:rPr>
                                <w:rFonts w:cs="Arial"/>
                                <w:bCs/>
                                <w:sz w:val="17"/>
                                <w:lang w:val="en-GB"/>
                              </w:rPr>
                              <w:t xml:space="preserve">A more detailed description of the risk factors that apply to the Fund is set out in the </w:t>
                            </w:r>
                            <w:hyperlink r:id="rId11" w:history="1">
                              <w:r w:rsidRPr="00C673E5">
                                <w:rPr>
                                  <w:rStyle w:val="Hyperlink"/>
                                  <w:rFonts w:cs="Arial"/>
                                  <w:bCs/>
                                  <w:sz w:val="17"/>
                                  <w:lang w:val="en-GB"/>
                                </w:rPr>
                                <w:t xml:space="preserve">Fund’s </w:t>
                              </w:r>
                              <w:r w:rsidR="00182EA0" w:rsidRPr="00C673E5">
                                <w:rPr>
                                  <w:rStyle w:val="Hyperlink"/>
                                  <w:rFonts w:cs="Arial"/>
                                  <w:bCs/>
                                  <w:sz w:val="17"/>
                                  <w:lang w:val="en-GB"/>
                                </w:rPr>
                                <w:t>P</w:t>
                              </w:r>
                              <w:r w:rsidRPr="00C673E5">
                                <w:rPr>
                                  <w:rStyle w:val="Hyperlink"/>
                                  <w:rFonts w:cs="Arial"/>
                                  <w:bCs/>
                                  <w:sz w:val="17"/>
                                  <w:lang w:val="en-GB"/>
                                </w:rPr>
                                <w:t>rospectus</w:t>
                              </w:r>
                            </w:hyperlink>
                            <w:r w:rsidR="00E91F43">
                              <w:rPr>
                                <w:rFonts w:cs="Arial"/>
                                <w:bCs/>
                                <w:sz w:val="17"/>
                                <w:lang w:val="en-GB"/>
                              </w:rPr>
                              <w:t xml:space="preserve"> and </w:t>
                            </w:r>
                            <w:r w:rsidR="00182EA0">
                              <w:rPr>
                                <w:rFonts w:cs="Arial"/>
                                <w:bCs/>
                                <w:sz w:val="17"/>
                                <w:lang w:val="en-GB"/>
                              </w:rPr>
                              <w:t>S</w:t>
                            </w:r>
                            <w:r w:rsidR="00E91F43">
                              <w:rPr>
                                <w:rFonts w:cs="Arial"/>
                                <w:bCs/>
                                <w:sz w:val="17"/>
                                <w:lang w:val="en-GB"/>
                              </w:rPr>
                              <w:t xml:space="preserve">upplement.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1"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" stroked="f">
                <v:textbo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merging markets are likely to bear higher risk due to lower liquidity and possible lack of adequate financial, legal, social, political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as a result of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63F1711B" w:rsidR="00EC7D6F" w:rsidRPr="00EC7D6F" w:rsidRDefault="00EC7D6F" w:rsidP="00EC7D6F">
                      <w:pPr>
                        <w:pStyle w:val="KIIDtext1"/>
                        <w:rPr>
                          <w:rFonts w:cs="Arial"/>
                          <w:sz w:val="17"/>
                          <w:lang w:val="en-GB"/>
                        </w:rPr>
                      </w:pPr>
                      <w:r w:rsidRPr="00EC7D6F">
                        <w:rPr>
                          <w:rFonts w:cs="Arial"/>
                          <w:bCs/>
                          <w:sz w:val="17"/>
                          <w:lang w:val="en-GB"/>
                        </w:rPr>
                        <w:t xml:space="preserve">A more detailed description of the risk factors that apply to the Fund is set out in the </w:t>
                      </w:r>
                      <w:hyperlink r:id="rId12" w:history="1">
                        <w:r w:rsidRPr="00C673E5">
                          <w:rPr>
                            <w:rStyle w:val="Hyperlink"/>
                            <w:rFonts w:cs="Arial"/>
                            <w:bCs/>
                            <w:sz w:val="17"/>
                            <w:lang w:val="en-GB"/>
                          </w:rPr>
                          <w:t xml:space="preserve">Fund’s </w:t>
                        </w:r>
                        <w:r w:rsidR="00182EA0" w:rsidRPr="00C673E5">
                          <w:rPr>
                            <w:rStyle w:val="Hyperlink"/>
                            <w:rFonts w:cs="Arial"/>
                            <w:bCs/>
                            <w:sz w:val="17"/>
                            <w:lang w:val="en-GB"/>
                          </w:rPr>
                          <w:t>P</w:t>
                        </w:r>
                        <w:r w:rsidRPr="00C673E5">
                          <w:rPr>
                            <w:rStyle w:val="Hyperlink"/>
                            <w:rFonts w:cs="Arial"/>
                            <w:bCs/>
                            <w:sz w:val="17"/>
                            <w:lang w:val="en-GB"/>
                          </w:rPr>
                          <w:t>rospectus</w:t>
                        </w:r>
                      </w:hyperlink>
                      <w:r w:rsidR="00E91F43">
                        <w:rPr>
                          <w:rFonts w:cs="Arial"/>
                          <w:bCs/>
                          <w:sz w:val="17"/>
                          <w:lang w:val="en-GB"/>
                        </w:rPr>
                        <w:t xml:space="preserve"> and </w:t>
                      </w:r>
                      <w:r w:rsidR="00182EA0">
                        <w:rPr>
                          <w:rFonts w:cs="Arial"/>
                          <w:bCs/>
                          <w:sz w:val="17"/>
                          <w:lang w:val="en-GB"/>
                        </w:rPr>
                        <w:t>S</w:t>
                      </w:r>
                      <w:r w:rsidR="00E91F43">
                        <w:rPr>
                          <w:rFonts w:cs="Arial"/>
                          <w:bCs/>
                          <w:sz w:val="17"/>
                          <w:lang w:val="en-GB"/>
                        </w:rPr>
                        <w:t xml:space="preserve">upplement. </w:t>
                      </w:r>
                    </w:p>
                  </w:txbxContent>
                </v:textbox>
              </v:shape>
            </w:pict>
          </mc:Fallback>
        </mc:AlternateContent>
      </w:r>
      <w:r w:rsidR="00EE3310">
        <w:rPr>
          <w:noProof/>
          <w:lang w:val="en-GB" w:eastAsia="en-GB"/>
        </w:rPr>
        <mc:AlternateContent>
          <mc:Choice Requires="wps">
            <w:drawing>
              <wp:anchor distT="0" distB="0" distL="114300" distR="114300" simplePos="0" relativeHeight="251669504" behindDoc="0" locked="0" layoutInCell="1" allowOverlap="1" wp14:anchorId="54F53EE3" wp14:editId="27D949E9">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r w:rsidRPr="006F31C1">
                                          <w:rPr>
                                            <w:rFonts w:cs="Arial"/>
                                            <w:b/>
                                            <w:i/>
                                            <w:color w:val="006747"/>
                                            <w:sz w:val="16"/>
                                            <w:szCs w:val="16"/>
                                          </w:rPr>
                                          <w:t>Typically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Typically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r w:rsidRPr="00EC7D6F">
                              <w:rPr>
                                <w:sz w:val="17"/>
                                <w:lang w:val="en-GB"/>
                              </w:rPr>
                              <w:t>risk free</w:t>
                            </w:r>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2" type="#_x0000_t202" style="position:absolute;margin-left:-49.5pt;margin-top:341pt;width:271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r w:rsidRPr="006F31C1">
                                    <w:rPr>
                                      <w:rFonts w:cs="Arial"/>
                                      <w:b/>
                                      <w:i/>
                                      <w:color w:val="006747"/>
                                      <w:sz w:val="16"/>
                                      <w:szCs w:val="16"/>
                                    </w:rPr>
                                    <w:t>Typically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Typically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r w:rsidRPr="00EC7D6F">
                        <w:rPr>
                          <w:sz w:val="17"/>
                          <w:lang w:val="en-GB"/>
                        </w:rPr>
                        <w:t>risk free</w:t>
                      </w:r>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v:textbox>
              </v:shape>
            </w:pict>
          </mc:Fallback>
        </mc:AlternateContent>
      </w:r>
      <w:r w:rsidR="005D7124">
        <w:rPr>
          <w:noProof/>
          <w:lang w:val="en-GB" w:eastAsia="en-GB"/>
        </w:rPr>
        <mc:AlternateContent>
          <mc:Choice Requires="wps">
            <w:drawing>
              <wp:anchor distT="0" distB="0" distL="114300" distR="114300" simplePos="0" relativeHeight="251670528" behindDoc="0" locked="0" layoutInCell="1" allowOverlap="1" wp14:anchorId="00B1B62C" wp14:editId="2E6C3F9A">
                <wp:simplePos x="0" y="0"/>
                <wp:positionH relativeFrom="column">
                  <wp:posOffset>-561340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5B6E23" w:rsidRDefault="005B6E23"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2" style="position:absolute;margin-left:-44.2pt;margin-top:349.4pt;width:252.3pt;height:7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" filled="f" strokecolor="#006747">
                <v:textbox>
                  <w:txbxContent>
                    <w:p w14:paraId="761AD6B8" w14:textId="77777777" w:rsidR="005B6E23" w:rsidRDefault="005B6E23" w:rsidP="005B6E23"/>
                  </w:txbxContent>
                </v:textbox>
              </v:rect>
            </w:pict>
          </mc:Fallback>
        </mc:AlternateContent>
      </w:r>
      <w:r w:rsidR="005D7124">
        <w:rPr>
          <w:noProof/>
          <w:lang w:val="en-GB" w:eastAsia="en-GB"/>
        </w:rPr>
        <mc:AlternateContent>
          <mc:Choice Requires="wps">
            <w:drawing>
              <wp:anchor distT="0" distB="0" distL="114300" distR="114300" simplePos="0" relativeHeight="251667456" behindDoc="0" locked="0" layoutInCell="1" allowOverlap="1" wp14:anchorId="6762F49B" wp14:editId="219FE912">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rsidRPr="006F31C1">
                              <w:t>Risk and Reward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a+AEAANEDAAAOAAAAZHJzL2Uyb0RvYy54bWysU8GO0zAQvSPxD5bvNG1ou2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" stroked="f">
                <v:textbox>
                  <w:txbxContent>
                    <w:p w14:paraId="6B74D446" w14:textId="77777777" w:rsidR="005B6E23" w:rsidRPr="006F31C1" w:rsidRDefault="005B6E23" w:rsidP="005B6E23">
                      <w:pPr>
                        <w:pStyle w:val="BoldSubHead"/>
                        <w:spacing w:before="0"/>
                      </w:pPr>
                      <w:r w:rsidRPr="006F31C1">
                        <w:t>Risk and Reward Profile</w:t>
                      </w:r>
                    </w:p>
                  </w:txbxContent>
                </v:textbox>
              </v:shape>
            </w:pict>
          </mc:Fallback>
        </mc:AlternateContent>
      </w:r>
      <w:r w:rsidR="005B6E23">
        <w:rPr>
          <w:noProof/>
          <w:lang w:val="en-GB" w:eastAsia="en-GB"/>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6B414D21" w:rsidR="005B6E23" w:rsidRDefault="00F04B91">
      <w:pPr>
        <w:widowControl/>
        <w:spacing w:after="160" w:line="259" w:lineRule="auto"/>
        <w:jc w:val="left"/>
      </w:pPr>
      <w:r>
        <w:rPr>
          <w:noProof/>
          <w:lang w:val="en-GB" w:eastAsia="en-GB"/>
        </w:rPr>
        <w:lastRenderedPageBreak/>
        <mc:AlternateContent>
          <mc:Choice Requires="wps">
            <w:drawing>
              <wp:anchor distT="0" distB="0" distL="114300" distR="114300" simplePos="0" relativeHeight="251676672" behindDoc="0" locked="0" layoutInCell="1" allowOverlap="1" wp14:anchorId="5F4798A8" wp14:editId="11A59CE5">
                <wp:simplePos x="0" y="0"/>
                <wp:positionH relativeFrom="column">
                  <wp:posOffset>2981325</wp:posOffset>
                </wp:positionH>
                <wp:positionV relativeFrom="paragraph">
                  <wp:posOffset>-219076</wp:posOffset>
                </wp:positionV>
                <wp:extent cx="3383915" cy="269557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6955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40FCA1E9" w:rsidR="00547654" w:rsidRPr="003206E5" w:rsidRDefault="005D031A" w:rsidP="00260AA8">
                                  <w:pPr>
                                    <w:pStyle w:val="KIIDtext1"/>
                                    <w:autoSpaceDE w:val="0"/>
                                    <w:autoSpaceDN w:val="0"/>
                                    <w:adjustRightInd w:val="0"/>
                                    <w:spacing w:line="200" w:lineRule="exact"/>
                                    <w:rPr>
                                      <w:rFonts w:cs="Arial"/>
                                      <w:b/>
                                      <w:sz w:val="16"/>
                                      <w:szCs w:val="16"/>
                                    </w:rPr>
                                  </w:pPr>
                                  <w:r>
                                    <w:rPr>
                                      <w:rFonts w:cs="Arial"/>
                                      <w:sz w:val="16"/>
                                      <w:szCs w:val="16"/>
                                    </w:rPr>
                                    <w:t>1.</w:t>
                                  </w:r>
                                  <w:r w:rsidR="00F04B91">
                                    <w:rPr>
                                      <w:rFonts w:cs="Arial"/>
                                      <w:sz w:val="16"/>
                                      <w:szCs w:val="16"/>
                                    </w:rPr>
                                    <w:t>9</w:t>
                                  </w:r>
                                  <w:r>
                                    <w:rPr>
                                      <w:rFonts w:cs="Arial"/>
                                      <w:sz w:val="16"/>
                                      <w:szCs w:val="16"/>
                                    </w:rPr>
                                    <w:t>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5B609E76" w:rsidR="00860C1C" w:rsidRPr="006F31C1" w:rsidRDefault="001B5511" w:rsidP="007C2529">
                                  <w:pPr>
                                    <w:pStyle w:val="KIIDtext1"/>
                                    <w:autoSpaceDE w:val="0"/>
                                    <w:autoSpaceDN w:val="0"/>
                                    <w:adjustRightInd w:val="0"/>
                                    <w:spacing w:line="200" w:lineRule="exact"/>
                                    <w:rPr>
                                      <w:rFonts w:cs="Arial"/>
                                      <w:sz w:val="16"/>
                                      <w:szCs w:val="16"/>
                                    </w:rPr>
                                  </w:pPr>
                                  <w:r w:rsidRPr="001B5511">
                                    <w:rPr>
                                      <w:rFonts w:cs="Arial"/>
                                      <w:sz w:val="12"/>
                                      <w:szCs w:val="16"/>
                                    </w:rPr>
                                    <w:t>Hurdle:</w:t>
                                  </w:r>
                                  <w:r w:rsidR="00860C1C" w:rsidRPr="00C92E59">
                                    <w:rPr>
                                      <w:rFonts w:cs="Arial"/>
                                      <w:sz w:val="12"/>
                                      <w:szCs w:val="16"/>
                                    </w:rPr>
                                    <w:t xml:space="preserve"> SONIA GBP for </w:t>
                                  </w:r>
                                  <w:r w:rsidR="006918F0">
                                    <w:rPr>
                                      <w:rFonts w:cs="Arial"/>
                                      <w:sz w:val="12"/>
                                      <w:szCs w:val="16"/>
                                    </w:rPr>
                                    <w:t>E2</w:t>
                                  </w:r>
                                  <w:r w:rsidR="00860C1C" w:rsidRPr="00C92E59">
                                    <w:rPr>
                                      <w:rFonts w:cs="Arial"/>
                                      <w:sz w:val="12"/>
                                      <w:szCs w:val="16"/>
                                    </w:rPr>
                                    <w:t xml:space="preserve"> GBP Shares</w:t>
                                  </w:r>
                                  <w:r w:rsidR="001E5F5B">
                                    <w:rPr>
                                      <w:rFonts w:cs="Arial"/>
                                      <w:sz w:val="12"/>
                                      <w:szCs w:val="16"/>
                                    </w:rPr>
                                    <w:t>,</w:t>
                                  </w:r>
                                  <w:r w:rsidR="006918F0">
                                    <w:rPr>
                                      <w:rFonts w:cs="Arial"/>
                                      <w:sz w:val="12"/>
                                      <w:szCs w:val="16"/>
                                    </w:rPr>
                                    <w:t xml:space="preserve"> the Euro Short Term Rate for E2 EUR </w:t>
                                  </w:r>
                                  <w:r w:rsidR="006918F0" w:rsidRPr="00C92E59">
                                    <w:rPr>
                                      <w:rFonts w:cs="Arial"/>
                                      <w:sz w:val="12"/>
                                      <w:szCs w:val="16"/>
                                    </w:rPr>
                                    <w:t>Shares</w:t>
                                  </w:r>
                                  <w:r w:rsidR="007C2529" w:rsidRPr="007C2529">
                                    <w:rPr>
                                      <w:rFonts w:cs="Arial"/>
                                      <w:sz w:val="12"/>
                                      <w:szCs w:val="16"/>
                                    </w:rPr>
                                    <w:t xml:space="preserve"> and 90 day US</w:t>
                                  </w:r>
                                  <w:r w:rsidR="00860C1C" w:rsidRPr="00C92E59">
                                    <w:rPr>
                                      <w:rFonts w:cs="Arial"/>
                                      <w:sz w:val="12"/>
                                      <w:szCs w:val="16"/>
                                    </w:rPr>
                                    <w:t xml:space="preserve"> LIBOR for </w:t>
                                  </w:r>
                                  <w:r w:rsidR="006918F0">
                                    <w:rPr>
                                      <w:rFonts w:cs="Arial"/>
                                      <w:sz w:val="12"/>
                                      <w:szCs w:val="16"/>
                                    </w:rPr>
                                    <w:t>E2</w:t>
                                  </w:r>
                                  <w:r w:rsidR="00860C1C" w:rsidRPr="00C92E59">
                                    <w:rPr>
                                      <w:rFonts w:cs="Arial"/>
                                      <w:sz w:val="12"/>
                                      <w:szCs w:val="16"/>
                                    </w:rPr>
                                    <w:t xml:space="preserve"> USD Shares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The charges you pay are used to pay the operating costs of running the Fund, including the costs of marketing and distributing it. These charges reduce the potential growth of your investment.</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17.25pt;width:266.45pt;height:21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40FCA1E9" w:rsidR="00547654" w:rsidRPr="003206E5" w:rsidRDefault="005D031A" w:rsidP="00260AA8">
                            <w:pPr>
                              <w:pStyle w:val="KIIDtext1"/>
                              <w:autoSpaceDE w:val="0"/>
                              <w:autoSpaceDN w:val="0"/>
                              <w:adjustRightInd w:val="0"/>
                              <w:spacing w:line="200" w:lineRule="exact"/>
                              <w:rPr>
                                <w:rFonts w:cs="Arial"/>
                                <w:b/>
                                <w:sz w:val="16"/>
                                <w:szCs w:val="16"/>
                              </w:rPr>
                            </w:pPr>
                            <w:r>
                              <w:rPr>
                                <w:rFonts w:cs="Arial"/>
                                <w:sz w:val="16"/>
                                <w:szCs w:val="16"/>
                              </w:rPr>
                              <w:t>1.</w:t>
                            </w:r>
                            <w:r w:rsidR="00F04B91">
                              <w:rPr>
                                <w:rFonts w:cs="Arial"/>
                                <w:sz w:val="16"/>
                                <w:szCs w:val="16"/>
                              </w:rPr>
                              <w:t>9</w:t>
                            </w:r>
                            <w:r>
                              <w:rPr>
                                <w:rFonts w:cs="Arial"/>
                                <w:sz w:val="16"/>
                                <w:szCs w:val="16"/>
                              </w:rPr>
                              <w:t>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5B609E76" w:rsidR="00860C1C" w:rsidRPr="006F31C1" w:rsidRDefault="001B5511" w:rsidP="007C2529">
                            <w:pPr>
                              <w:pStyle w:val="KIIDtext1"/>
                              <w:autoSpaceDE w:val="0"/>
                              <w:autoSpaceDN w:val="0"/>
                              <w:adjustRightInd w:val="0"/>
                              <w:spacing w:line="200" w:lineRule="exact"/>
                              <w:rPr>
                                <w:rFonts w:cs="Arial"/>
                                <w:sz w:val="16"/>
                                <w:szCs w:val="16"/>
                              </w:rPr>
                            </w:pPr>
                            <w:r w:rsidRPr="001B5511">
                              <w:rPr>
                                <w:rFonts w:cs="Arial"/>
                                <w:sz w:val="12"/>
                                <w:szCs w:val="16"/>
                              </w:rPr>
                              <w:t>Hurdle:</w:t>
                            </w:r>
                            <w:r w:rsidR="00860C1C" w:rsidRPr="00C92E59">
                              <w:rPr>
                                <w:rFonts w:cs="Arial"/>
                                <w:sz w:val="12"/>
                                <w:szCs w:val="16"/>
                              </w:rPr>
                              <w:t xml:space="preserve"> SONIA GBP for </w:t>
                            </w:r>
                            <w:r w:rsidR="006918F0">
                              <w:rPr>
                                <w:rFonts w:cs="Arial"/>
                                <w:sz w:val="12"/>
                                <w:szCs w:val="16"/>
                              </w:rPr>
                              <w:t>E2</w:t>
                            </w:r>
                            <w:r w:rsidR="00860C1C" w:rsidRPr="00C92E59">
                              <w:rPr>
                                <w:rFonts w:cs="Arial"/>
                                <w:sz w:val="12"/>
                                <w:szCs w:val="16"/>
                              </w:rPr>
                              <w:t xml:space="preserve"> GBP Shares</w:t>
                            </w:r>
                            <w:r w:rsidR="001E5F5B">
                              <w:rPr>
                                <w:rFonts w:cs="Arial"/>
                                <w:sz w:val="12"/>
                                <w:szCs w:val="16"/>
                              </w:rPr>
                              <w:t>,</w:t>
                            </w:r>
                            <w:r w:rsidR="006918F0">
                              <w:rPr>
                                <w:rFonts w:cs="Arial"/>
                                <w:sz w:val="12"/>
                                <w:szCs w:val="16"/>
                              </w:rPr>
                              <w:t xml:space="preserve"> the Euro Short Term Rate for E2 EUR </w:t>
                            </w:r>
                            <w:r w:rsidR="006918F0" w:rsidRPr="00C92E59">
                              <w:rPr>
                                <w:rFonts w:cs="Arial"/>
                                <w:sz w:val="12"/>
                                <w:szCs w:val="16"/>
                              </w:rPr>
                              <w:t>Shares</w:t>
                            </w:r>
                            <w:r w:rsidR="007C2529" w:rsidRPr="007C2529">
                              <w:rPr>
                                <w:rFonts w:cs="Arial"/>
                                <w:sz w:val="12"/>
                                <w:szCs w:val="16"/>
                              </w:rPr>
                              <w:t xml:space="preserve"> and 90 day US</w:t>
                            </w:r>
                            <w:r w:rsidR="00860C1C" w:rsidRPr="00C92E59">
                              <w:rPr>
                                <w:rFonts w:cs="Arial"/>
                                <w:sz w:val="12"/>
                                <w:szCs w:val="16"/>
                              </w:rPr>
                              <w:t xml:space="preserve"> LIBOR for </w:t>
                            </w:r>
                            <w:r w:rsidR="006918F0">
                              <w:rPr>
                                <w:rFonts w:cs="Arial"/>
                                <w:sz w:val="12"/>
                                <w:szCs w:val="16"/>
                              </w:rPr>
                              <w:t>E2</w:t>
                            </w:r>
                            <w:r w:rsidR="00860C1C" w:rsidRPr="00C92E59">
                              <w:rPr>
                                <w:rFonts w:cs="Arial"/>
                                <w:sz w:val="12"/>
                                <w:szCs w:val="16"/>
                              </w:rPr>
                              <w:t xml:space="preserve"> USD Shares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The charges you pay are used to pay the operating costs of running the Fund, including the costs of marketing and distributing it. These charges reduce the potential growth of your investment.</w:t>
                      </w:r>
                    </w:p>
                    <w:p w14:paraId="49F259AB" w14:textId="3CB864EC" w:rsidR="00A32750" w:rsidRPr="00EC7D6F" w:rsidRDefault="00A32750" w:rsidP="00547654">
                      <w:pPr>
                        <w:rPr>
                          <w:sz w:val="17"/>
                          <w:szCs w:val="17"/>
                        </w:rPr>
                      </w:pPr>
                    </w:p>
                  </w:txbxContent>
                </v:textbox>
              </v:rect>
            </w:pict>
          </mc:Fallback>
        </mc:AlternateContent>
      </w:r>
      <w:r>
        <w:rPr>
          <w:noProof/>
          <w:lang w:val="en-GB" w:eastAsia="en-GB"/>
        </w:rPr>
        <mc:AlternateContent>
          <mc:Choice Requires="wps">
            <w:drawing>
              <wp:anchor distT="0" distB="0" distL="114300" distR="114300" simplePos="0" relativeHeight="251658239" behindDoc="0" locked="0" layoutInCell="1" allowOverlap="1" wp14:anchorId="314135DF" wp14:editId="7D854DA6">
                <wp:simplePos x="0" y="0"/>
                <wp:positionH relativeFrom="column">
                  <wp:posOffset>-419100</wp:posOffset>
                </wp:positionH>
                <wp:positionV relativeFrom="paragraph">
                  <wp:posOffset>-171450</wp:posOffset>
                </wp:positionV>
                <wp:extent cx="3394710" cy="22002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20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Salar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7" type="#_x0000_t202" style="position:absolute;margin-left:-33pt;margin-top:-13.5pt;width:267.3pt;height:17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" stroked="f">
                <v:textbo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Salar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v:textbox>
              </v:shape>
            </w:pict>
          </mc:Fallback>
        </mc:AlternateContent>
      </w:r>
      <w:r w:rsidR="00271096">
        <w:rPr>
          <w:noProof/>
          <w:lang w:val="en-GB" w:eastAsia="en-GB"/>
        </w:rPr>
        <mc:AlternateContent>
          <mc:Choice Requires="wps">
            <w:drawing>
              <wp:anchor distT="0" distB="0" distL="114300" distR="114300" simplePos="0" relativeHeight="251674624" behindDoc="0" locked="0" layoutInCell="1" allowOverlap="1" wp14:anchorId="18404AF7" wp14:editId="402F444D">
                <wp:simplePos x="0" y="0"/>
                <wp:positionH relativeFrom="column">
                  <wp:posOffset>-483870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8.1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6G+A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D747435" w:rsidR="00CB0F6B" w:rsidRDefault="00CB0F6B">
      <w:pPr>
        <w:widowControl/>
        <w:spacing w:after="160" w:line="259" w:lineRule="auto"/>
        <w:jc w:val="left"/>
      </w:pPr>
    </w:p>
    <w:p w14:paraId="69D20D1C" w14:textId="3CA3382D" w:rsidR="00F631E3" w:rsidRDefault="00316AA2">
      <w:pPr>
        <w:widowControl/>
        <w:spacing w:after="160" w:line="259" w:lineRule="auto"/>
        <w:jc w:val="left"/>
      </w:pPr>
      <w:r>
        <w:rPr>
          <w:noProof/>
          <w:color w:val="000000"/>
          <w:lang w:val="en-GB" w:eastAsia="en-GB"/>
        </w:rPr>
        <mc:AlternateContent>
          <mc:Choice Requires="wps">
            <w:drawing>
              <wp:anchor distT="0" distB="0" distL="114300" distR="114300" simplePos="0" relativeHeight="251680768" behindDoc="0" locked="0" layoutInCell="1" allowOverlap="1" wp14:anchorId="2ED6B05F" wp14:editId="7B4ADF00">
                <wp:simplePos x="0" y="0"/>
                <wp:positionH relativeFrom="margin">
                  <wp:posOffset>-477520</wp:posOffset>
                </wp:positionH>
                <wp:positionV relativeFrom="paragraph">
                  <wp:posOffset>180975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96D63" id="AutoShape 129" o:spid="_x0000_s1026" type="#_x0000_t32" style="position:absolute;margin-left:-37.6pt;margin-top:14.2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" strokecolor="#006747">
                <w10:wrap anchorx="margin"/>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0E57E85D" wp14:editId="00B6AE57">
                <wp:simplePos x="0" y="0"/>
                <wp:positionH relativeFrom="column">
                  <wp:posOffset>-514350</wp:posOffset>
                </wp:positionH>
                <wp:positionV relativeFrom="paragraph">
                  <wp:posOffset>213995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16.8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tq+AEAANIDAAAOAAAAZHJzL2Uyb0RvYy54bWysU8GO0zAQvSPxD5bvNG22LW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v:textbox>
              </v:shape>
            </w:pict>
          </mc:Fallback>
        </mc:AlternateContent>
      </w:r>
    </w:p>
    <w:p w14:paraId="59D3C0D3" w14:textId="2910EAB2" w:rsidR="00D91E47" w:rsidRDefault="00D91E47">
      <w:pPr>
        <w:widowControl/>
        <w:spacing w:after="160" w:line="259" w:lineRule="auto"/>
        <w:jc w:val="left"/>
      </w:pPr>
    </w:p>
    <w:p w14:paraId="09087E9E" w14:textId="68513521" w:rsidR="00F04B91" w:rsidRDefault="0065413A">
      <w:pPr>
        <w:widowControl/>
        <w:spacing w:after="160" w:line="259" w:lineRule="auto"/>
        <w:jc w:val="left"/>
      </w:pPr>
      <w:r>
        <w:rPr>
          <w:noProof/>
          <w:lang w:val="en-GB" w:eastAsia="en-GB"/>
        </w:rPr>
        <mc:AlternateContent>
          <mc:Choice Requires="wps">
            <w:drawing>
              <wp:anchor distT="0" distB="0" distL="114300" distR="114300" simplePos="0" relativeHeight="251657214" behindDoc="0" locked="0" layoutInCell="1" allowOverlap="1" wp14:anchorId="652E6D33" wp14:editId="0F987AE5">
                <wp:simplePos x="0" y="0"/>
                <wp:positionH relativeFrom="column">
                  <wp:posOffset>-523875</wp:posOffset>
                </wp:positionH>
                <wp:positionV relativeFrom="paragraph">
                  <wp:posOffset>1758950</wp:posOffset>
                </wp:positionV>
                <wp:extent cx="6962775" cy="5524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1D9CC650" w:rsidR="002C6136" w:rsidRDefault="00FE2606" w:rsidP="002C6136">
                            <w:pPr>
                              <w:pStyle w:val="KIIDtext1"/>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 xml:space="preserve">Class </w:t>
                            </w:r>
                            <w:r w:rsidR="0065413A">
                              <w:rPr>
                                <w:rFonts w:ascii="ArialMT" w:eastAsiaTheme="minorHAnsi" w:hAnsi="ArialMT" w:cs="ArialMT"/>
                                <w:sz w:val="14"/>
                                <w:szCs w:val="14"/>
                                <w:lang w:val="en-GB"/>
                              </w:rPr>
                              <w:t>E2 Accumulation</w:t>
                            </w:r>
                            <w:r w:rsidRPr="002C3A76">
                              <w:rPr>
                                <w:rFonts w:ascii="ArialMT" w:eastAsiaTheme="minorHAnsi" w:hAnsi="ArialMT" w:cs="ArialMT"/>
                                <w:sz w:val="14"/>
                                <w:szCs w:val="14"/>
                                <w:lang w:val="en-GB"/>
                              </w:rPr>
                              <w:t xml:space="preserve"> Shares</w:t>
                            </w:r>
                            <w:r>
                              <w:rPr>
                                <w:rFonts w:ascii="ArialMT" w:eastAsiaTheme="minorHAnsi" w:hAnsi="ArialMT" w:cs="ArialMT"/>
                                <w:sz w:val="14"/>
                                <w:szCs w:val="14"/>
                                <w:lang w:val="en-GB"/>
                              </w:rPr>
                              <w:t xml:space="preserve"> of the Fund. Past performance is not necessarily a guide to future performance, prices may fluctuate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a newly-established</w:t>
                            </w:r>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r w:rsidR="007831CF">
                              <w:rPr>
                                <w:rFonts w:ascii="ArialMT" w:eastAsiaTheme="minorHAnsi" w:hAnsi="ArialMT" w:cs="ArialMT"/>
                                <w:sz w:val="14"/>
                                <w:szCs w:val="14"/>
                                <w:lang w:val="en-GB"/>
                              </w:rPr>
                              <w:t xml:space="preserve">Salar Fund </w:t>
                            </w:r>
                            <w:r w:rsidR="00F0299D">
                              <w:rPr>
                                <w:rFonts w:ascii="ArialMT" w:eastAsiaTheme="minorHAnsi" w:hAnsi="ArialMT" w:cs="ArialMT"/>
                                <w:sz w:val="14"/>
                                <w:szCs w:val="14"/>
                                <w:lang w:val="en-GB"/>
                              </w:rPr>
                              <w:t>PLC</w:t>
                            </w:r>
                            <w:r w:rsidR="00F04B91">
                              <w:rPr>
                                <w:rFonts w:ascii="ArialMT" w:eastAsiaTheme="minorHAnsi" w:hAnsi="ArialMT" w:cs="ArialMT"/>
                                <w:sz w:val="14"/>
                                <w:szCs w:val="14"/>
                                <w:lang w:val="en-GB"/>
                              </w:rPr>
                              <w:t>.</w:t>
                            </w:r>
                          </w:p>
                          <w:bookmarkEnd w:id="0"/>
                          <w:bookmarkEnd w:id="1"/>
                          <w:bookmarkEnd w:id="2"/>
                          <w:bookmarkEnd w:i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41.25pt;margin-top:138.5pt;width:548.25pt;height:4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" stroked="f">
                <v:textbox>
                  <w:txbxContent>
                    <w:p w14:paraId="18760CF8" w14:textId="1D9CC650" w:rsidR="002C6136" w:rsidRDefault="00FE2606" w:rsidP="002C6136">
                      <w:pPr>
                        <w:pStyle w:val="KIIDtext1"/>
                        <w:rPr>
                          <w:rFonts w:ascii="ArialMT" w:eastAsiaTheme="minorHAnsi" w:hAnsi="ArialMT" w:cs="ArialMT"/>
                          <w:sz w:val="14"/>
                          <w:szCs w:val="14"/>
                          <w:lang w:val="en-GB"/>
                        </w:rPr>
                      </w:pPr>
                      <w:bookmarkStart w:id="4" w:name="_Hlk106031432"/>
                      <w:bookmarkStart w:id="5" w:name="_Hlk106031433"/>
                      <w:bookmarkStart w:id="6" w:name="_Hlk106031434"/>
                      <w:bookmarkStart w:id="7"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 xml:space="preserve">Class </w:t>
                      </w:r>
                      <w:r w:rsidR="0065413A">
                        <w:rPr>
                          <w:rFonts w:ascii="ArialMT" w:eastAsiaTheme="minorHAnsi" w:hAnsi="ArialMT" w:cs="ArialMT"/>
                          <w:sz w:val="14"/>
                          <w:szCs w:val="14"/>
                          <w:lang w:val="en-GB"/>
                        </w:rPr>
                        <w:t>E2 Accumulation</w:t>
                      </w:r>
                      <w:r w:rsidRPr="002C3A76">
                        <w:rPr>
                          <w:rFonts w:ascii="ArialMT" w:eastAsiaTheme="minorHAnsi" w:hAnsi="ArialMT" w:cs="ArialMT"/>
                          <w:sz w:val="14"/>
                          <w:szCs w:val="14"/>
                          <w:lang w:val="en-GB"/>
                        </w:rPr>
                        <w:t xml:space="preserve"> Shares</w:t>
                      </w:r>
                      <w:r>
                        <w:rPr>
                          <w:rFonts w:ascii="ArialMT" w:eastAsiaTheme="minorHAnsi" w:hAnsi="ArialMT" w:cs="ArialMT"/>
                          <w:sz w:val="14"/>
                          <w:szCs w:val="14"/>
                          <w:lang w:val="en-GB"/>
                        </w:rPr>
                        <w:t xml:space="preserve"> of the Fund. Past performance is not necessarily a guide to future performance, prices may </w:t>
                      </w:r>
                      <w:proofErr w:type="gramStart"/>
                      <w:r>
                        <w:rPr>
                          <w:rFonts w:ascii="ArialMT" w:eastAsiaTheme="minorHAnsi" w:hAnsi="ArialMT" w:cs="ArialMT"/>
                          <w:sz w:val="14"/>
                          <w:szCs w:val="14"/>
                          <w:lang w:val="en-GB"/>
                        </w:rPr>
                        <w:t>fluctuate</w:t>
                      </w:r>
                      <w:proofErr w:type="gramEnd"/>
                      <w:r>
                        <w:rPr>
                          <w:rFonts w:ascii="ArialMT" w:eastAsiaTheme="minorHAnsi" w:hAnsi="ArialMT" w:cs="ArialMT"/>
                          <w:sz w:val="14"/>
                          <w:szCs w:val="14"/>
                          <w:lang w:val="en-GB"/>
                        </w:rPr>
                        <w:t xml:space="preserv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 xml:space="preserve">a </w:t>
                      </w:r>
                      <w:proofErr w:type="gramStart"/>
                      <w:r w:rsidR="00872332">
                        <w:rPr>
                          <w:rFonts w:ascii="ArialMT" w:eastAsiaTheme="minorHAnsi" w:hAnsi="ArialMT" w:cs="ArialMT"/>
                          <w:sz w:val="14"/>
                          <w:szCs w:val="14"/>
                          <w:lang w:val="en-GB"/>
                        </w:rPr>
                        <w:t>newly-established</w:t>
                      </w:r>
                      <w:proofErr w:type="gramEnd"/>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proofErr w:type="spellStart"/>
                      <w:r w:rsidR="007831CF">
                        <w:rPr>
                          <w:rFonts w:ascii="ArialMT" w:eastAsiaTheme="minorHAnsi" w:hAnsi="ArialMT" w:cs="ArialMT"/>
                          <w:sz w:val="14"/>
                          <w:szCs w:val="14"/>
                          <w:lang w:val="en-GB"/>
                        </w:rPr>
                        <w:t>Salar</w:t>
                      </w:r>
                      <w:proofErr w:type="spellEnd"/>
                      <w:r w:rsidR="007831CF">
                        <w:rPr>
                          <w:rFonts w:ascii="ArialMT" w:eastAsiaTheme="minorHAnsi" w:hAnsi="ArialMT" w:cs="ArialMT"/>
                          <w:sz w:val="14"/>
                          <w:szCs w:val="14"/>
                          <w:lang w:val="en-GB"/>
                        </w:rPr>
                        <w:t xml:space="preserve"> Fund </w:t>
                      </w:r>
                      <w:r w:rsidR="00F0299D">
                        <w:rPr>
                          <w:rFonts w:ascii="ArialMT" w:eastAsiaTheme="minorHAnsi" w:hAnsi="ArialMT" w:cs="ArialMT"/>
                          <w:sz w:val="14"/>
                          <w:szCs w:val="14"/>
                          <w:lang w:val="en-GB"/>
                        </w:rPr>
                        <w:t>PLC</w:t>
                      </w:r>
                      <w:r w:rsidR="00F04B91">
                        <w:rPr>
                          <w:rFonts w:ascii="ArialMT" w:eastAsiaTheme="minorHAnsi" w:hAnsi="ArialMT" w:cs="ArialMT"/>
                          <w:sz w:val="14"/>
                          <w:szCs w:val="14"/>
                          <w:lang w:val="en-GB"/>
                        </w:rPr>
                        <w:t>.</w:t>
                      </w:r>
                    </w:p>
                    <w:bookmarkEnd w:id="4"/>
                    <w:bookmarkEnd w:id="5"/>
                    <w:bookmarkEnd w:id="6"/>
                    <w:bookmarkEnd w:id="7"/>
                  </w:txbxContent>
                </v:textbox>
              </v:shape>
            </w:pict>
          </mc:Fallback>
        </mc:AlternateContent>
      </w:r>
      <w:r w:rsidR="00F04B91">
        <w:rPr>
          <w:noProof/>
        </w:rPr>
        <w:drawing>
          <wp:inline distT="0" distB="0" distL="0" distR="0" wp14:anchorId="3B3F5D98" wp14:editId="29D190F7">
            <wp:extent cx="2507922" cy="17049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391" cy="1709373"/>
                    </a:xfrm>
                    <a:prstGeom prst="rect">
                      <a:avLst/>
                    </a:prstGeom>
                    <a:noFill/>
                  </pic:spPr>
                </pic:pic>
              </a:graphicData>
            </a:graphic>
          </wp:inline>
        </w:drawing>
      </w:r>
      <w:r w:rsidR="006918F0" w:rsidRPr="006918F0">
        <w:rPr>
          <w:noProof/>
        </w:rPr>
        <w:t xml:space="preserve"> </w:t>
      </w:r>
      <w:r w:rsidR="006918F0">
        <w:rPr>
          <w:noProof/>
        </w:rPr>
        <w:drawing>
          <wp:inline distT="0" distB="0" distL="0" distR="0" wp14:anchorId="2BE91F71" wp14:editId="3EC1E365">
            <wp:extent cx="1638300" cy="1695450"/>
            <wp:effectExtent l="0" t="0" r="0" b="0"/>
            <wp:docPr id="21" name="Chart 21">
              <a:extLst xmlns:a="http://schemas.openxmlformats.org/drawingml/2006/main">
                <a:ext uri="{FF2B5EF4-FFF2-40B4-BE49-F238E27FC236}">
                  <a16:creationId xmlns:a16="http://schemas.microsoft.com/office/drawing/2014/main" id="{00000000-0008-0000-03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918F0" w:rsidRPr="006918F0">
        <w:rPr>
          <w:noProof/>
        </w:rPr>
        <w:t xml:space="preserve"> </w:t>
      </w:r>
      <w:r w:rsidR="006918F0">
        <w:rPr>
          <w:noProof/>
        </w:rPr>
        <w:drawing>
          <wp:inline distT="0" distB="0" distL="0" distR="0" wp14:anchorId="0B125435" wp14:editId="137CF62C">
            <wp:extent cx="1476375" cy="1704975"/>
            <wp:effectExtent l="0" t="0" r="0" b="0"/>
            <wp:docPr id="30" name="Chart 30">
              <a:extLst xmlns:a="http://schemas.openxmlformats.org/drawingml/2006/main">
                <a:ext uri="{FF2B5EF4-FFF2-40B4-BE49-F238E27FC236}">
                  <a16:creationId xmlns:a16="http://schemas.microsoft.com/office/drawing/2014/main" id="{00000000-0008-0000-03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1BEB51" w14:textId="492399CA" w:rsidR="00D91E47" w:rsidRDefault="00D91E47">
      <w:pPr>
        <w:widowControl/>
        <w:spacing w:after="160" w:line="259" w:lineRule="auto"/>
        <w:jc w:val="left"/>
      </w:pPr>
    </w:p>
    <w:p w14:paraId="7DE48D5B" w14:textId="10D88C38" w:rsidR="003E383B" w:rsidRDefault="0065413A">
      <w:pPr>
        <w:widowControl/>
        <w:spacing w:after="160" w:line="259" w:lineRule="auto"/>
        <w:jc w:val="left"/>
      </w:pPr>
      <w:r>
        <w:rPr>
          <w:noProof/>
          <w:lang w:val="en-GB" w:eastAsia="en-GB"/>
        </w:rPr>
        <mc:AlternateContent>
          <mc:Choice Requires="wps">
            <w:drawing>
              <wp:anchor distT="0" distB="0" distL="114300" distR="114300" simplePos="0" relativeHeight="251688960" behindDoc="0" locked="0" layoutInCell="1" allowOverlap="1" wp14:anchorId="05C78577" wp14:editId="2542B230">
                <wp:simplePos x="0" y="0"/>
                <wp:positionH relativeFrom="column">
                  <wp:posOffset>-487045</wp:posOffset>
                </wp:positionH>
                <wp:positionV relativeFrom="paragraph">
                  <wp:posOffset>277495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8.35pt;margin-top:21.8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dt9w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Pr>
          <w:noProof/>
          <w:color w:val="000000"/>
          <w:lang w:val="en-GB" w:eastAsia="en-GB"/>
        </w:rPr>
        <mc:AlternateContent>
          <mc:Choice Requires="wps">
            <w:drawing>
              <wp:anchor distT="0" distB="0" distL="114300" distR="114300" simplePos="0" relativeHeight="251686912" behindDoc="0" locked="0" layoutInCell="1" allowOverlap="1" wp14:anchorId="1134C902" wp14:editId="17BC30AE">
                <wp:simplePos x="0" y="0"/>
                <wp:positionH relativeFrom="margin">
                  <wp:posOffset>-541020</wp:posOffset>
                </wp:positionH>
                <wp:positionV relativeFrom="paragraph">
                  <wp:posOffset>237490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011E2" id="AutoShape 134" o:spid="_x0000_s1026" type="#_x0000_t32" style="position:absolute;margin-left:-42.6pt;margin-top:18.7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" strokecolor="#006747">
                <w10:wrap anchorx="margin"/>
              </v:shape>
            </w:pict>
          </mc:Fallback>
        </mc:AlternateContent>
      </w:r>
    </w:p>
    <w:p w14:paraId="03DC48A2" w14:textId="3940AFEE" w:rsidR="005B6E23" w:rsidRDefault="00A06F2D">
      <w:pPr>
        <w:widowControl/>
        <w:spacing w:after="160" w:line="259" w:lineRule="auto"/>
        <w:jc w:val="left"/>
      </w:pPr>
      <w:r>
        <w:rPr>
          <w:noProof/>
          <w:lang w:val="en-GB" w:eastAsia="en-GB"/>
        </w:rPr>
        <mc:AlternateContent>
          <mc:Choice Requires="wps">
            <w:drawing>
              <wp:anchor distT="0" distB="0" distL="114300" distR="114300" simplePos="0" relativeHeight="251691008" behindDoc="0" locked="0" layoutInCell="1" allowOverlap="1" wp14:anchorId="433AE50E" wp14:editId="4BB4F09C">
                <wp:simplePos x="0" y="0"/>
                <wp:positionH relativeFrom="column">
                  <wp:posOffset>3019425</wp:posOffset>
                </wp:positionH>
                <wp:positionV relativeFrom="paragraph">
                  <wp:posOffset>60325</wp:posOffset>
                </wp:positionV>
                <wp:extent cx="3275965" cy="291465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91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on the basis of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4" w:name="_Hlk106030897"/>
                            <w:bookmarkStart w:id="5"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margin-left:237.75pt;margin-top:4.75pt;width:257.95pt;height:2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" stroked="f">
                <v:textbo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on the basis of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6" w:name="_Hlk106030897"/>
                      <w:bookmarkStart w:id="7"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6"/>
                      <w:bookmarkEnd w:id="7"/>
                    </w:p>
                  </w:txbxContent>
                </v:textbox>
              </v:shape>
            </w:pict>
          </mc:Fallback>
        </mc:AlternateContent>
      </w:r>
      <w:r w:rsidR="0065413A">
        <w:rPr>
          <w:noProof/>
          <w:lang w:val="en-GB" w:eastAsia="en-GB"/>
        </w:rPr>
        <mc:AlternateContent>
          <mc:Choice Requires="wps">
            <w:drawing>
              <wp:anchor distT="0" distB="0" distL="114300" distR="114300" simplePos="0" relativeHeight="251695104" behindDoc="0" locked="0" layoutInCell="1" allowOverlap="1" wp14:anchorId="4246B9A2" wp14:editId="01AA016D">
                <wp:simplePos x="0" y="0"/>
                <wp:positionH relativeFrom="margin">
                  <wp:posOffset>-600075</wp:posOffset>
                </wp:positionH>
                <wp:positionV relativeFrom="paragraph">
                  <wp:posOffset>2889250</wp:posOffset>
                </wp:positionV>
                <wp:extent cx="6927850" cy="14763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7637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3FAC553F" w14:textId="77777777" w:rsidR="00A06F2D" w:rsidRPr="00883D68" w:rsidRDefault="00A06F2D" w:rsidP="00A06F2D">
                            <w:pPr>
                              <w:spacing w:line="200" w:lineRule="exact"/>
                              <w:jc w:val="left"/>
                              <w:rPr>
                                <w:rFonts w:cs="Arial"/>
                                <w:bCs/>
                                <w:color w:val="A6A6A6"/>
                                <w:sz w:val="14"/>
                                <w:szCs w:val="14"/>
                                <w:lang w:val="en-GB"/>
                              </w:rPr>
                            </w:pPr>
                            <w:r w:rsidRPr="00883D68">
                              <w:rPr>
                                <w:rFonts w:cs="Arial"/>
                                <w:bCs/>
                                <w:color w:val="A6A6A6"/>
                                <w:sz w:val="14"/>
                                <w:szCs w:val="14"/>
                                <w:lang w:val="en-GB"/>
                              </w:rPr>
                              <w:t>Information required, to the extent applicable, for Distribution of Foreign Collective</w:t>
                            </w:r>
                            <w:r>
                              <w:rPr>
                                <w:rFonts w:cs="Arial"/>
                                <w:bCs/>
                                <w:color w:val="A6A6A6"/>
                                <w:sz w:val="14"/>
                                <w:szCs w:val="14"/>
                                <w:lang w:val="en-GB"/>
                              </w:rPr>
                              <w:t xml:space="preserve"> </w:t>
                            </w:r>
                            <w:r w:rsidRPr="00883D68">
                              <w:rPr>
                                <w:rFonts w:cs="Arial"/>
                                <w:bCs/>
                                <w:color w:val="A6A6A6"/>
                                <w:sz w:val="14"/>
                                <w:szCs w:val="14"/>
                                <w:lang w:val="en-GB"/>
                              </w:rPr>
                              <w:t>Investment Schemes to Qualified Investors in Switzerland: The representative in Switzerland</w:t>
                            </w:r>
                            <w:r>
                              <w:rPr>
                                <w:rFonts w:cs="Arial"/>
                                <w:bCs/>
                                <w:color w:val="A6A6A6"/>
                                <w:sz w:val="14"/>
                                <w:szCs w:val="14"/>
                                <w:lang w:val="en-GB"/>
                              </w:rPr>
                              <w:t xml:space="preserve"> </w:t>
                            </w:r>
                            <w:r w:rsidRPr="00883D68">
                              <w:rPr>
                                <w:rFonts w:cs="Arial"/>
                                <w:bCs/>
                                <w:color w:val="A6A6A6"/>
                                <w:sz w:val="14"/>
                                <w:szCs w:val="14"/>
                                <w:lang w:val="en-GB"/>
                              </w:rPr>
                              <w:t>is Acolin Fund Services AG, Leutschenbachstrasse 50, CH-8050 Zurich, Switzerland. The</w:t>
                            </w:r>
                            <w:r>
                              <w:rPr>
                                <w:rFonts w:cs="Arial"/>
                                <w:bCs/>
                                <w:color w:val="A6A6A6"/>
                                <w:sz w:val="14"/>
                                <w:szCs w:val="14"/>
                                <w:lang w:val="en-GB"/>
                              </w:rPr>
                              <w:t xml:space="preserve"> </w:t>
                            </w:r>
                            <w:r w:rsidRPr="00883D68">
                              <w:rPr>
                                <w:rFonts w:cs="Arial"/>
                                <w:bCs/>
                                <w:color w:val="A6A6A6"/>
                                <w:sz w:val="14"/>
                                <w:szCs w:val="14"/>
                                <w:lang w:val="en-GB"/>
                              </w:rPr>
                              <w:t>distribution of Shares of the relevant CQS Fund in Switzerland will be exclusively made to, and</w:t>
                            </w:r>
                            <w:r>
                              <w:rPr>
                                <w:rFonts w:cs="Arial"/>
                                <w:bCs/>
                                <w:color w:val="A6A6A6"/>
                                <w:sz w:val="14"/>
                                <w:szCs w:val="14"/>
                                <w:lang w:val="en-GB"/>
                              </w:rPr>
                              <w:t xml:space="preserve"> </w:t>
                            </w:r>
                            <w:r w:rsidRPr="00883D68">
                              <w:rPr>
                                <w:rFonts w:cs="Arial"/>
                                <w:bCs/>
                                <w:color w:val="A6A6A6"/>
                                <w:sz w:val="14"/>
                                <w:szCs w:val="14"/>
                                <w:lang w:val="en-GB"/>
                              </w:rPr>
                              <w:t>directed at, qualified investors (the “Qualified Investors”), as defined in the Swiss Collective</w:t>
                            </w:r>
                            <w:r>
                              <w:rPr>
                                <w:rFonts w:cs="Arial"/>
                                <w:bCs/>
                                <w:color w:val="A6A6A6"/>
                                <w:sz w:val="14"/>
                                <w:szCs w:val="14"/>
                                <w:lang w:val="en-GB"/>
                              </w:rPr>
                              <w:t xml:space="preserve"> </w:t>
                            </w:r>
                            <w:r w:rsidRPr="00883D68">
                              <w:rPr>
                                <w:rFonts w:cs="Arial"/>
                                <w:bCs/>
                                <w:color w:val="A6A6A6"/>
                                <w:sz w:val="14"/>
                                <w:szCs w:val="14"/>
                                <w:lang w:val="en-GB"/>
                              </w:rPr>
                              <w:t>Investment Schemes Act of 23 June 2006, as amended (“CISA”) and its implementing ordinance</w:t>
                            </w:r>
                            <w:r>
                              <w:rPr>
                                <w:rFonts w:cs="Arial"/>
                                <w:bCs/>
                                <w:color w:val="A6A6A6"/>
                                <w:sz w:val="14"/>
                                <w:szCs w:val="14"/>
                                <w:lang w:val="en-GB"/>
                              </w:rPr>
                              <w:t xml:space="preserve"> </w:t>
                            </w:r>
                            <w:r w:rsidRPr="00883D68">
                              <w:rPr>
                                <w:rFonts w:cs="Arial"/>
                                <w:bCs/>
                                <w:color w:val="A6A6A6"/>
                                <w:sz w:val="14"/>
                                <w:szCs w:val="14"/>
                                <w:lang w:val="en-GB"/>
                              </w:rPr>
                              <w:t>(the “Swiss Distribution Rules”). Accordingly, the relevant CQS Fund has not been and will not be</w:t>
                            </w:r>
                            <w:r>
                              <w:rPr>
                                <w:rFonts w:cs="Arial"/>
                                <w:bCs/>
                                <w:color w:val="A6A6A6"/>
                                <w:sz w:val="14"/>
                                <w:szCs w:val="14"/>
                                <w:lang w:val="en-GB"/>
                              </w:rPr>
                              <w:t xml:space="preserve"> </w:t>
                            </w:r>
                            <w:r w:rsidRPr="00883D68">
                              <w:rPr>
                                <w:rFonts w:cs="Arial"/>
                                <w:bCs/>
                                <w:color w:val="A6A6A6"/>
                                <w:sz w:val="14"/>
                                <w:szCs w:val="14"/>
                                <w:lang w:val="en-GB"/>
                              </w:rPr>
                              <w:t>registered with the Swiss Financial Market Supervisory Authority ("FINMA"). The paying agent in</w:t>
                            </w:r>
                            <w:r>
                              <w:rPr>
                                <w:rFonts w:cs="Arial"/>
                                <w:bCs/>
                                <w:color w:val="A6A6A6"/>
                                <w:sz w:val="14"/>
                                <w:szCs w:val="14"/>
                                <w:lang w:val="en-GB"/>
                              </w:rPr>
                              <w:t xml:space="preserve"> </w:t>
                            </w:r>
                            <w:r w:rsidRPr="00883D68">
                              <w:rPr>
                                <w:rFonts w:cs="Arial"/>
                                <w:bCs/>
                                <w:color w:val="A6A6A6"/>
                                <w:sz w:val="14"/>
                                <w:szCs w:val="14"/>
                                <w:lang w:val="en-GB"/>
                              </w:rPr>
                              <w:t>Switzerland is Aquila &amp; Co. AG, Bahnhofstrasse 28a, CH-8001, Zurich, Switzerland. The</w:t>
                            </w:r>
                          </w:p>
                          <w:p w14:paraId="514F2B5A" w14:textId="77777777" w:rsidR="00A06F2D" w:rsidRPr="00883D68" w:rsidRDefault="00A06F2D" w:rsidP="00A06F2D">
                            <w:pPr>
                              <w:spacing w:line="200" w:lineRule="exact"/>
                              <w:jc w:val="left"/>
                              <w:rPr>
                                <w:rFonts w:cs="Arial"/>
                                <w:bCs/>
                                <w:color w:val="A6A6A6"/>
                                <w:sz w:val="14"/>
                                <w:szCs w:val="14"/>
                                <w:lang w:val="en-GB"/>
                              </w:rPr>
                            </w:pPr>
                            <w:r w:rsidRPr="00883D68">
                              <w:rPr>
                                <w:rFonts w:cs="Arial"/>
                                <w:bCs/>
                                <w:color w:val="A6A6A6"/>
                                <w:sz w:val="14"/>
                                <w:szCs w:val="14"/>
                                <w:lang w:val="en-GB"/>
                              </w:rPr>
                              <w:t>relevant Offering Document and all other documents used for marketing purposes, including the</w:t>
                            </w:r>
                            <w:r>
                              <w:rPr>
                                <w:rFonts w:cs="Arial"/>
                                <w:bCs/>
                                <w:color w:val="A6A6A6"/>
                                <w:sz w:val="14"/>
                                <w:szCs w:val="14"/>
                                <w:lang w:val="en-GB"/>
                              </w:rPr>
                              <w:t xml:space="preserve"> </w:t>
                            </w:r>
                            <w:r w:rsidRPr="00883D68">
                              <w:rPr>
                                <w:rFonts w:cs="Arial"/>
                                <w:bCs/>
                                <w:color w:val="A6A6A6"/>
                                <w:sz w:val="14"/>
                                <w:szCs w:val="14"/>
                                <w:lang w:val="en-GB"/>
                              </w:rPr>
                              <w:t>annual and semi annual report, if any, can be obtained free of charge from the representative in</w:t>
                            </w:r>
                            <w:r>
                              <w:rPr>
                                <w:rFonts w:cs="Arial"/>
                                <w:bCs/>
                                <w:color w:val="A6A6A6"/>
                                <w:sz w:val="14"/>
                                <w:szCs w:val="14"/>
                                <w:lang w:val="en-GB"/>
                              </w:rPr>
                              <w:t xml:space="preserve"> </w:t>
                            </w:r>
                            <w:r w:rsidRPr="00883D68">
                              <w:rPr>
                                <w:rFonts w:cs="Arial"/>
                                <w:bCs/>
                                <w:color w:val="A6A6A6"/>
                                <w:sz w:val="14"/>
                                <w:szCs w:val="14"/>
                                <w:lang w:val="en-GB"/>
                              </w:rPr>
                              <w:t>Switzerland. The place of performance and jurisdiction is the registered office of the representative</w:t>
                            </w:r>
                            <w:r>
                              <w:rPr>
                                <w:rFonts w:cs="Arial"/>
                                <w:bCs/>
                                <w:color w:val="A6A6A6"/>
                                <w:sz w:val="14"/>
                                <w:szCs w:val="14"/>
                                <w:lang w:val="en-GB"/>
                              </w:rPr>
                              <w:t xml:space="preserve"> </w:t>
                            </w:r>
                            <w:r w:rsidRPr="00883D68">
                              <w:rPr>
                                <w:rFonts w:cs="Arial"/>
                                <w:bCs/>
                                <w:color w:val="A6A6A6"/>
                                <w:sz w:val="14"/>
                                <w:szCs w:val="14"/>
                                <w:lang w:val="en-GB"/>
                              </w:rPr>
                              <w:t>in Switzerland with regards to the Shares distributed in and from Switzerland. CQS (UK) LLP (as</w:t>
                            </w:r>
                            <w:r>
                              <w:rPr>
                                <w:rFonts w:cs="Arial"/>
                                <w:bCs/>
                                <w:color w:val="A6A6A6"/>
                                <w:sz w:val="14"/>
                                <w:szCs w:val="14"/>
                                <w:lang w:val="en-GB"/>
                              </w:rPr>
                              <w:t xml:space="preserve"> </w:t>
                            </w:r>
                            <w:r w:rsidRPr="00883D68">
                              <w:rPr>
                                <w:rFonts w:cs="Arial"/>
                                <w:bCs/>
                                <w:color w:val="A6A6A6"/>
                                <w:sz w:val="14"/>
                                <w:szCs w:val="14"/>
                                <w:lang w:val="en-GB"/>
                              </w:rPr>
                              <w:t>the distributor in Switzerland) and its agents do not pay any retrocessions to third parties in relation</w:t>
                            </w:r>
                          </w:p>
                          <w:p w14:paraId="653EF0E3" w14:textId="59066252" w:rsidR="00A06F2D" w:rsidRPr="00F1704F" w:rsidRDefault="00A06F2D" w:rsidP="00A06F2D">
                            <w:pPr>
                              <w:spacing w:line="200" w:lineRule="exact"/>
                              <w:jc w:val="left"/>
                              <w:rPr>
                                <w:rFonts w:cs="Arial"/>
                                <w:color w:val="A6A6A6"/>
                                <w:sz w:val="14"/>
                                <w:szCs w:val="14"/>
                              </w:rPr>
                            </w:pPr>
                            <w:r w:rsidRPr="00883D68">
                              <w:rPr>
                                <w:rFonts w:cs="Arial"/>
                                <w:bCs/>
                                <w:color w:val="A6A6A6"/>
                                <w:sz w:val="14"/>
                                <w:szCs w:val="14"/>
                                <w:lang w:val="en-GB"/>
                              </w:rPr>
                              <w:t>to the distribution of the Shares of the relevant CQS Fund in or from Switzerland. CQS (UK) LLP</w:t>
                            </w:r>
                            <w:r>
                              <w:rPr>
                                <w:rFonts w:cs="Arial"/>
                                <w:bCs/>
                                <w:color w:val="A6A6A6"/>
                                <w:sz w:val="14"/>
                                <w:szCs w:val="14"/>
                                <w:lang w:val="en-GB"/>
                              </w:rPr>
                              <w:t xml:space="preserve"> </w:t>
                            </w:r>
                            <w:r w:rsidRPr="00883D68">
                              <w:rPr>
                                <w:rFonts w:cs="Arial"/>
                                <w:bCs/>
                                <w:color w:val="A6A6A6"/>
                                <w:sz w:val="14"/>
                                <w:szCs w:val="14"/>
                                <w:lang w:val="en-GB"/>
                              </w:rPr>
                              <w:t>(as the distributor in Switzerland) and its agents do not pay any rebates aiming at reducing fees</w:t>
                            </w:r>
                            <w:r>
                              <w:rPr>
                                <w:rFonts w:cs="Arial"/>
                                <w:bCs/>
                                <w:color w:val="A6A6A6"/>
                                <w:sz w:val="14"/>
                                <w:szCs w:val="14"/>
                                <w:lang w:val="en-GB"/>
                              </w:rPr>
                              <w:t xml:space="preserve"> </w:t>
                            </w:r>
                            <w:r w:rsidRPr="00883D68">
                              <w:rPr>
                                <w:rFonts w:cs="Arial"/>
                                <w:bCs/>
                                <w:color w:val="A6A6A6"/>
                                <w:sz w:val="14"/>
                                <w:szCs w:val="14"/>
                                <w:lang w:val="en-GB"/>
                              </w:rPr>
                              <w:t>and expenses paid by the relevant CQS Fund and incurred by the investors.</w:t>
                            </w: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sidR="00B4521F">
                              <w:rPr>
                                <w:rFonts w:cs="Arial"/>
                                <w:b/>
                                <w:bCs/>
                                <w:color w:val="A6A6A6"/>
                                <w:sz w:val="14"/>
                                <w:szCs w:val="14"/>
                                <w:lang w:val="en-GB"/>
                              </w:rPr>
                              <w:t>12 September 2022</w:t>
                            </w:r>
                          </w:p>
                          <w:p w14:paraId="41D22610" w14:textId="319BC39E" w:rsidR="005D7254" w:rsidRPr="00F1704F" w:rsidRDefault="005D7254" w:rsidP="005D7254">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3" type="#_x0000_t202" style="position:absolute;margin-left:-47.25pt;margin-top:227.5pt;width:545.5pt;height:11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" filled="f" fillcolor="#cce1da" stroked="f" strokecolor="#006747">
                <v:textbox>
                  <w:txbxContent>
                    <w:p w14:paraId="3FAC553F" w14:textId="77777777" w:rsidR="00A06F2D" w:rsidRPr="00883D68" w:rsidRDefault="00A06F2D" w:rsidP="00A06F2D">
                      <w:pPr>
                        <w:spacing w:line="200" w:lineRule="exact"/>
                        <w:jc w:val="left"/>
                        <w:rPr>
                          <w:rFonts w:cs="Arial"/>
                          <w:bCs/>
                          <w:color w:val="A6A6A6"/>
                          <w:sz w:val="14"/>
                          <w:szCs w:val="14"/>
                          <w:lang w:val="en-GB"/>
                        </w:rPr>
                      </w:pPr>
                      <w:r w:rsidRPr="00883D68">
                        <w:rPr>
                          <w:rFonts w:cs="Arial"/>
                          <w:bCs/>
                          <w:color w:val="A6A6A6"/>
                          <w:sz w:val="14"/>
                          <w:szCs w:val="14"/>
                          <w:lang w:val="en-GB"/>
                        </w:rPr>
                        <w:t>Information required, to the extent applicable, for Distribution of Foreign Collective</w:t>
                      </w:r>
                      <w:r>
                        <w:rPr>
                          <w:rFonts w:cs="Arial"/>
                          <w:bCs/>
                          <w:color w:val="A6A6A6"/>
                          <w:sz w:val="14"/>
                          <w:szCs w:val="14"/>
                          <w:lang w:val="en-GB"/>
                        </w:rPr>
                        <w:t xml:space="preserve"> </w:t>
                      </w:r>
                      <w:r w:rsidRPr="00883D68">
                        <w:rPr>
                          <w:rFonts w:cs="Arial"/>
                          <w:bCs/>
                          <w:color w:val="A6A6A6"/>
                          <w:sz w:val="14"/>
                          <w:szCs w:val="14"/>
                          <w:lang w:val="en-GB"/>
                        </w:rPr>
                        <w:t>Investment Schemes to Qualified Investors in Switzerland: The representative in Switzerland</w:t>
                      </w:r>
                      <w:r>
                        <w:rPr>
                          <w:rFonts w:cs="Arial"/>
                          <w:bCs/>
                          <w:color w:val="A6A6A6"/>
                          <w:sz w:val="14"/>
                          <w:szCs w:val="14"/>
                          <w:lang w:val="en-GB"/>
                        </w:rPr>
                        <w:t xml:space="preserve"> </w:t>
                      </w:r>
                      <w:r w:rsidRPr="00883D68">
                        <w:rPr>
                          <w:rFonts w:cs="Arial"/>
                          <w:bCs/>
                          <w:color w:val="A6A6A6"/>
                          <w:sz w:val="14"/>
                          <w:szCs w:val="14"/>
                          <w:lang w:val="en-GB"/>
                        </w:rPr>
                        <w:t>is Acolin Fund Services AG, Leutschenbachstrasse 50, CH-8050 Zurich, Switzerland. The</w:t>
                      </w:r>
                      <w:r>
                        <w:rPr>
                          <w:rFonts w:cs="Arial"/>
                          <w:bCs/>
                          <w:color w:val="A6A6A6"/>
                          <w:sz w:val="14"/>
                          <w:szCs w:val="14"/>
                          <w:lang w:val="en-GB"/>
                        </w:rPr>
                        <w:t xml:space="preserve"> </w:t>
                      </w:r>
                      <w:r w:rsidRPr="00883D68">
                        <w:rPr>
                          <w:rFonts w:cs="Arial"/>
                          <w:bCs/>
                          <w:color w:val="A6A6A6"/>
                          <w:sz w:val="14"/>
                          <w:szCs w:val="14"/>
                          <w:lang w:val="en-GB"/>
                        </w:rPr>
                        <w:t>distribution of Shares of the relevant CQS Fund in Switzerland will be exclusively made to, and</w:t>
                      </w:r>
                      <w:r>
                        <w:rPr>
                          <w:rFonts w:cs="Arial"/>
                          <w:bCs/>
                          <w:color w:val="A6A6A6"/>
                          <w:sz w:val="14"/>
                          <w:szCs w:val="14"/>
                          <w:lang w:val="en-GB"/>
                        </w:rPr>
                        <w:t xml:space="preserve"> </w:t>
                      </w:r>
                      <w:r w:rsidRPr="00883D68">
                        <w:rPr>
                          <w:rFonts w:cs="Arial"/>
                          <w:bCs/>
                          <w:color w:val="A6A6A6"/>
                          <w:sz w:val="14"/>
                          <w:szCs w:val="14"/>
                          <w:lang w:val="en-GB"/>
                        </w:rPr>
                        <w:t>directed at, qualified investors (the “Qualified Investors”), as defined in the Swiss Collective</w:t>
                      </w:r>
                      <w:r>
                        <w:rPr>
                          <w:rFonts w:cs="Arial"/>
                          <w:bCs/>
                          <w:color w:val="A6A6A6"/>
                          <w:sz w:val="14"/>
                          <w:szCs w:val="14"/>
                          <w:lang w:val="en-GB"/>
                        </w:rPr>
                        <w:t xml:space="preserve"> </w:t>
                      </w:r>
                      <w:r w:rsidRPr="00883D68">
                        <w:rPr>
                          <w:rFonts w:cs="Arial"/>
                          <w:bCs/>
                          <w:color w:val="A6A6A6"/>
                          <w:sz w:val="14"/>
                          <w:szCs w:val="14"/>
                          <w:lang w:val="en-GB"/>
                        </w:rPr>
                        <w:t>Investment Schemes Act of 23 June 2006, as amended (“CISA”) and its implementing ordinance</w:t>
                      </w:r>
                      <w:r>
                        <w:rPr>
                          <w:rFonts w:cs="Arial"/>
                          <w:bCs/>
                          <w:color w:val="A6A6A6"/>
                          <w:sz w:val="14"/>
                          <w:szCs w:val="14"/>
                          <w:lang w:val="en-GB"/>
                        </w:rPr>
                        <w:t xml:space="preserve"> </w:t>
                      </w:r>
                      <w:r w:rsidRPr="00883D68">
                        <w:rPr>
                          <w:rFonts w:cs="Arial"/>
                          <w:bCs/>
                          <w:color w:val="A6A6A6"/>
                          <w:sz w:val="14"/>
                          <w:szCs w:val="14"/>
                          <w:lang w:val="en-GB"/>
                        </w:rPr>
                        <w:t>(the “Swiss Distribution Rules”). Accordingly, the relevant CQS Fund has not been and will not be</w:t>
                      </w:r>
                      <w:r>
                        <w:rPr>
                          <w:rFonts w:cs="Arial"/>
                          <w:bCs/>
                          <w:color w:val="A6A6A6"/>
                          <w:sz w:val="14"/>
                          <w:szCs w:val="14"/>
                          <w:lang w:val="en-GB"/>
                        </w:rPr>
                        <w:t xml:space="preserve"> </w:t>
                      </w:r>
                      <w:r w:rsidRPr="00883D68">
                        <w:rPr>
                          <w:rFonts w:cs="Arial"/>
                          <w:bCs/>
                          <w:color w:val="A6A6A6"/>
                          <w:sz w:val="14"/>
                          <w:szCs w:val="14"/>
                          <w:lang w:val="en-GB"/>
                        </w:rPr>
                        <w:t>registered with the Swiss Financial Market Supervisory Authority ("FINMA"). The paying agent in</w:t>
                      </w:r>
                      <w:r>
                        <w:rPr>
                          <w:rFonts w:cs="Arial"/>
                          <w:bCs/>
                          <w:color w:val="A6A6A6"/>
                          <w:sz w:val="14"/>
                          <w:szCs w:val="14"/>
                          <w:lang w:val="en-GB"/>
                        </w:rPr>
                        <w:t xml:space="preserve"> </w:t>
                      </w:r>
                      <w:r w:rsidRPr="00883D68">
                        <w:rPr>
                          <w:rFonts w:cs="Arial"/>
                          <w:bCs/>
                          <w:color w:val="A6A6A6"/>
                          <w:sz w:val="14"/>
                          <w:szCs w:val="14"/>
                          <w:lang w:val="en-GB"/>
                        </w:rPr>
                        <w:t>Switzerland is Aquila &amp; Co. AG, Bahnhofstrasse 28a, CH-8001, Zurich, Switzerland. The</w:t>
                      </w:r>
                    </w:p>
                    <w:p w14:paraId="514F2B5A" w14:textId="77777777" w:rsidR="00A06F2D" w:rsidRPr="00883D68" w:rsidRDefault="00A06F2D" w:rsidP="00A06F2D">
                      <w:pPr>
                        <w:spacing w:line="200" w:lineRule="exact"/>
                        <w:jc w:val="left"/>
                        <w:rPr>
                          <w:rFonts w:cs="Arial"/>
                          <w:bCs/>
                          <w:color w:val="A6A6A6"/>
                          <w:sz w:val="14"/>
                          <w:szCs w:val="14"/>
                          <w:lang w:val="en-GB"/>
                        </w:rPr>
                      </w:pPr>
                      <w:r w:rsidRPr="00883D68">
                        <w:rPr>
                          <w:rFonts w:cs="Arial"/>
                          <w:bCs/>
                          <w:color w:val="A6A6A6"/>
                          <w:sz w:val="14"/>
                          <w:szCs w:val="14"/>
                          <w:lang w:val="en-GB"/>
                        </w:rPr>
                        <w:t>relevant Offering Document and all other documents used for marketing purposes, including the</w:t>
                      </w:r>
                      <w:r>
                        <w:rPr>
                          <w:rFonts w:cs="Arial"/>
                          <w:bCs/>
                          <w:color w:val="A6A6A6"/>
                          <w:sz w:val="14"/>
                          <w:szCs w:val="14"/>
                          <w:lang w:val="en-GB"/>
                        </w:rPr>
                        <w:t xml:space="preserve"> </w:t>
                      </w:r>
                      <w:r w:rsidRPr="00883D68">
                        <w:rPr>
                          <w:rFonts w:cs="Arial"/>
                          <w:bCs/>
                          <w:color w:val="A6A6A6"/>
                          <w:sz w:val="14"/>
                          <w:szCs w:val="14"/>
                          <w:lang w:val="en-GB"/>
                        </w:rPr>
                        <w:t>annual and semi annual report, if any, can be obtained free of charge from the representative in</w:t>
                      </w:r>
                      <w:r>
                        <w:rPr>
                          <w:rFonts w:cs="Arial"/>
                          <w:bCs/>
                          <w:color w:val="A6A6A6"/>
                          <w:sz w:val="14"/>
                          <w:szCs w:val="14"/>
                          <w:lang w:val="en-GB"/>
                        </w:rPr>
                        <w:t xml:space="preserve"> </w:t>
                      </w:r>
                      <w:r w:rsidRPr="00883D68">
                        <w:rPr>
                          <w:rFonts w:cs="Arial"/>
                          <w:bCs/>
                          <w:color w:val="A6A6A6"/>
                          <w:sz w:val="14"/>
                          <w:szCs w:val="14"/>
                          <w:lang w:val="en-GB"/>
                        </w:rPr>
                        <w:t>Switzerland. The place of performance and jurisdiction is the registered office of the representative</w:t>
                      </w:r>
                      <w:r>
                        <w:rPr>
                          <w:rFonts w:cs="Arial"/>
                          <w:bCs/>
                          <w:color w:val="A6A6A6"/>
                          <w:sz w:val="14"/>
                          <w:szCs w:val="14"/>
                          <w:lang w:val="en-GB"/>
                        </w:rPr>
                        <w:t xml:space="preserve"> </w:t>
                      </w:r>
                      <w:r w:rsidRPr="00883D68">
                        <w:rPr>
                          <w:rFonts w:cs="Arial"/>
                          <w:bCs/>
                          <w:color w:val="A6A6A6"/>
                          <w:sz w:val="14"/>
                          <w:szCs w:val="14"/>
                          <w:lang w:val="en-GB"/>
                        </w:rPr>
                        <w:t>in Switzerland with regards to the Shares distributed in and from Switzerland. CQS (UK) LLP (as</w:t>
                      </w:r>
                      <w:r>
                        <w:rPr>
                          <w:rFonts w:cs="Arial"/>
                          <w:bCs/>
                          <w:color w:val="A6A6A6"/>
                          <w:sz w:val="14"/>
                          <w:szCs w:val="14"/>
                          <w:lang w:val="en-GB"/>
                        </w:rPr>
                        <w:t xml:space="preserve"> </w:t>
                      </w:r>
                      <w:r w:rsidRPr="00883D68">
                        <w:rPr>
                          <w:rFonts w:cs="Arial"/>
                          <w:bCs/>
                          <w:color w:val="A6A6A6"/>
                          <w:sz w:val="14"/>
                          <w:szCs w:val="14"/>
                          <w:lang w:val="en-GB"/>
                        </w:rPr>
                        <w:t>the distributor in Switzerland) and its agents do not pay any retrocessions to third parties in relation</w:t>
                      </w:r>
                    </w:p>
                    <w:p w14:paraId="653EF0E3" w14:textId="59066252" w:rsidR="00A06F2D" w:rsidRPr="00F1704F" w:rsidRDefault="00A06F2D" w:rsidP="00A06F2D">
                      <w:pPr>
                        <w:spacing w:line="200" w:lineRule="exact"/>
                        <w:jc w:val="left"/>
                        <w:rPr>
                          <w:rFonts w:cs="Arial"/>
                          <w:color w:val="A6A6A6"/>
                          <w:sz w:val="14"/>
                          <w:szCs w:val="14"/>
                        </w:rPr>
                      </w:pPr>
                      <w:r w:rsidRPr="00883D68">
                        <w:rPr>
                          <w:rFonts w:cs="Arial"/>
                          <w:bCs/>
                          <w:color w:val="A6A6A6"/>
                          <w:sz w:val="14"/>
                          <w:szCs w:val="14"/>
                          <w:lang w:val="en-GB"/>
                        </w:rPr>
                        <w:t>to the distribution of the Shares of the relevant CQS Fund in or from Switzerland. CQS (UK) LLP</w:t>
                      </w:r>
                      <w:r>
                        <w:rPr>
                          <w:rFonts w:cs="Arial"/>
                          <w:bCs/>
                          <w:color w:val="A6A6A6"/>
                          <w:sz w:val="14"/>
                          <w:szCs w:val="14"/>
                          <w:lang w:val="en-GB"/>
                        </w:rPr>
                        <w:t xml:space="preserve"> </w:t>
                      </w:r>
                      <w:r w:rsidRPr="00883D68">
                        <w:rPr>
                          <w:rFonts w:cs="Arial"/>
                          <w:bCs/>
                          <w:color w:val="A6A6A6"/>
                          <w:sz w:val="14"/>
                          <w:szCs w:val="14"/>
                          <w:lang w:val="en-GB"/>
                        </w:rPr>
                        <w:t>(as the distributor in Switzerland) and its agents do not pay any rebates aiming at reducing fees</w:t>
                      </w:r>
                      <w:r>
                        <w:rPr>
                          <w:rFonts w:cs="Arial"/>
                          <w:bCs/>
                          <w:color w:val="A6A6A6"/>
                          <w:sz w:val="14"/>
                          <w:szCs w:val="14"/>
                          <w:lang w:val="en-GB"/>
                        </w:rPr>
                        <w:t xml:space="preserve"> </w:t>
                      </w:r>
                      <w:r w:rsidRPr="00883D68">
                        <w:rPr>
                          <w:rFonts w:cs="Arial"/>
                          <w:bCs/>
                          <w:color w:val="A6A6A6"/>
                          <w:sz w:val="14"/>
                          <w:szCs w:val="14"/>
                          <w:lang w:val="en-GB"/>
                        </w:rPr>
                        <w:t>and expenses paid by the relevant CQS Fund and incurred by the investors.</w:t>
                      </w: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sidR="00B4521F">
                        <w:rPr>
                          <w:rFonts w:cs="Arial"/>
                          <w:b/>
                          <w:bCs/>
                          <w:color w:val="A6A6A6"/>
                          <w:sz w:val="14"/>
                          <w:szCs w:val="14"/>
                          <w:lang w:val="en-GB"/>
                        </w:rPr>
                        <w:t>12 September 2022</w:t>
                      </w:r>
                    </w:p>
                    <w:p w14:paraId="41D22610" w14:textId="319BC39E" w:rsidR="005D7254" w:rsidRPr="00F1704F" w:rsidRDefault="005D7254" w:rsidP="005D7254">
                      <w:pPr>
                        <w:spacing w:line="200" w:lineRule="exact"/>
                        <w:jc w:val="left"/>
                        <w:rPr>
                          <w:rFonts w:cs="Arial"/>
                          <w:color w:val="A6A6A6"/>
                          <w:sz w:val="14"/>
                          <w:szCs w:val="14"/>
                        </w:rPr>
                      </w:pPr>
                    </w:p>
                  </w:txbxContent>
                </v:textbox>
                <w10:wrap anchorx="margin"/>
              </v:shape>
            </w:pict>
          </mc:Fallback>
        </mc:AlternateContent>
      </w:r>
      <w:r w:rsidR="00D91E47">
        <w:rPr>
          <w:noProof/>
          <w:lang w:val="en-GB" w:eastAsia="en-GB"/>
        </w:rPr>
        <mc:AlternateContent>
          <mc:Choice Requires="wps">
            <w:drawing>
              <wp:anchor distT="0" distB="0" distL="114300" distR="114300" simplePos="0" relativeHeight="251693056" behindDoc="0" locked="0" layoutInCell="1" allowOverlap="1" wp14:anchorId="49686F48" wp14:editId="64257677">
                <wp:simplePos x="0" y="0"/>
                <wp:positionH relativeFrom="column">
                  <wp:posOffset>-463550</wp:posOffset>
                </wp:positionH>
                <wp:positionV relativeFrom="paragraph">
                  <wp:posOffset>237490</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4BCE4282"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w:t>
                            </w:r>
                            <w:hyperlink r:id="rId16" w:history="1">
                              <w:r w:rsidR="00C673E5" w:rsidRPr="009A7E89">
                                <w:rPr>
                                  <w:rStyle w:val="Hyperlink"/>
                                  <w:rFonts w:cs="Arial"/>
                                  <w:bCs/>
                                  <w:sz w:val="17"/>
                                  <w:szCs w:val="17"/>
                                  <w:lang w:val="en-GB"/>
                                </w:rPr>
                                <w:t>https://www.cqs.com/documents/regulatory-disclosures/cqs_ucits_remuneration_policy.pdf</w:t>
                              </w:r>
                            </w:hyperlink>
                            <w:r w:rsidR="00C673E5">
                              <w:rPr>
                                <w:rFonts w:cs="Arial"/>
                                <w:bCs/>
                                <w:sz w:val="17"/>
                                <w:szCs w:val="17"/>
                                <w:lang w:val="en-GB"/>
                              </w:rPr>
                              <w:t xml:space="preserve"> </w:t>
                            </w:r>
                            <w:r w:rsidRPr="0039384F">
                              <w:rPr>
                                <w:rFonts w:cs="Arial"/>
                                <w:bCs/>
                                <w:sz w:val="17"/>
                                <w:szCs w:val="17"/>
                                <w:lang w:val="en-GB"/>
                              </w:rPr>
                              <w:t xml:space="preserve"> </w:t>
                            </w:r>
                          </w:p>
                          <w:p w14:paraId="13585DF8" w14:textId="26D7B5A4"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w:t>
                            </w:r>
                            <w:hyperlink r:id="rId17" w:history="1">
                              <w:r w:rsidR="00C673E5" w:rsidRPr="009A7E89">
                                <w:rPr>
                                  <w:rStyle w:val="Hyperlink"/>
                                  <w:rFonts w:cs="Arial"/>
                                  <w:bCs/>
                                  <w:sz w:val="17"/>
                                  <w:szCs w:val="17"/>
                                  <w:lang w:val="en-GB"/>
                                </w:rPr>
                                <w:t>https://kbassociates.ie</w:t>
                              </w:r>
                            </w:hyperlink>
                            <w:r w:rsidR="00C673E5">
                              <w:rPr>
                                <w:rFonts w:cs="Arial"/>
                                <w:bCs/>
                                <w:sz w:val="17"/>
                                <w:szCs w:val="17"/>
                                <w:lang w:val="en-GB"/>
                              </w:rPr>
                              <w:t xml:space="preserve"> </w:t>
                            </w:r>
                            <w:r w:rsidRPr="0039384F">
                              <w:rPr>
                                <w:rFonts w:cs="Arial"/>
                                <w:bCs/>
                                <w:sz w:val="17"/>
                                <w:szCs w:val="17"/>
                                <w:lang w:val="en-GB"/>
                              </w:rPr>
                              <w:t xml:space="preserv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4" type="#_x0000_t202" style="position:absolute;margin-left:-36.5pt;margin-top:18.7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" stroked="f">
                <v:textbox>
                  <w:txbxContent>
                    <w:p w14:paraId="0AF27AA9" w14:textId="4BCE4282"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w:t>
                      </w:r>
                      <w:hyperlink r:id="rId18" w:history="1">
                        <w:r w:rsidR="00C673E5" w:rsidRPr="009A7E89">
                          <w:rPr>
                            <w:rStyle w:val="Hyperlink"/>
                            <w:rFonts w:cs="Arial"/>
                            <w:bCs/>
                            <w:sz w:val="17"/>
                            <w:szCs w:val="17"/>
                            <w:lang w:val="en-GB"/>
                          </w:rPr>
                          <w:t>https://www.cqs.com/documents/regulatory-disclosures/cqs_ucits_remuneration_policy.pdf</w:t>
                        </w:r>
                      </w:hyperlink>
                      <w:r w:rsidR="00C673E5">
                        <w:rPr>
                          <w:rFonts w:cs="Arial"/>
                          <w:bCs/>
                          <w:sz w:val="17"/>
                          <w:szCs w:val="17"/>
                          <w:lang w:val="en-GB"/>
                        </w:rPr>
                        <w:t xml:space="preserve"> </w:t>
                      </w:r>
                      <w:r w:rsidRPr="0039384F">
                        <w:rPr>
                          <w:rFonts w:cs="Arial"/>
                          <w:bCs/>
                          <w:sz w:val="17"/>
                          <w:szCs w:val="17"/>
                          <w:lang w:val="en-GB"/>
                        </w:rPr>
                        <w:t xml:space="preserve"> </w:t>
                      </w:r>
                    </w:p>
                    <w:p w14:paraId="13585DF8" w14:textId="26D7B5A4"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w:t>
                      </w:r>
                      <w:hyperlink r:id="rId19" w:history="1">
                        <w:r w:rsidR="00C673E5" w:rsidRPr="009A7E89">
                          <w:rPr>
                            <w:rStyle w:val="Hyperlink"/>
                            <w:rFonts w:cs="Arial"/>
                            <w:bCs/>
                            <w:sz w:val="17"/>
                            <w:szCs w:val="17"/>
                            <w:lang w:val="en-GB"/>
                          </w:rPr>
                          <w:t>https://kbassociates.ie</w:t>
                        </w:r>
                      </w:hyperlink>
                      <w:r w:rsidR="00C673E5">
                        <w:rPr>
                          <w:rFonts w:cs="Arial"/>
                          <w:bCs/>
                          <w:sz w:val="17"/>
                          <w:szCs w:val="17"/>
                          <w:lang w:val="en-GB"/>
                        </w:rPr>
                        <w:t xml:space="preserve"> </w:t>
                      </w:r>
                      <w:r w:rsidRPr="0039384F">
                        <w:rPr>
                          <w:rFonts w:cs="Arial"/>
                          <w:bCs/>
                          <w:sz w:val="17"/>
                          <w:szCs w:val="17"/>
                          <w:lang w:val="en-GB"/>
                        </w:rPr>
                        <w:t xml:space="preserv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r w:rsidR="0039384F">
        <w:rPr>
          <w:noProof/>
          <w:lang w:val="en-GB" w:eastAsia="en-GB"/>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20"/>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1576C6" w:rsidRDefault="001576C6" w:rsidP="005B6E23">
      <w:pPr>
        <w:spacing w:line="240" w:lineRule="auto"/>
      </w:pPr>
      <w:r>
        <w:separator/>
      </w:r>
    </w:p>
  </w:endnote>
  <w:endnote w:type="continuationSeparator" w:id="0">
    <w:p w14:paraId="5EE48C5E" w14:textId="77777777" w:rsidR="001576C6" w:rsidRDefault="001576C6"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41528">
      <w:rPr>
        <w:caps/>
        <w:noProof/>
        <w:color w:val="5B9BD5" w:themeColor="accent1"/>
      </w:rPr>
      <w:t>2</w:t>
    </w:r>
    <w:r>
      <w:rPr>
        <w:caps/>
        <w:noProof/>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1576C6" w:rsidRDefault="001576C6" w:rsidP="005B6E23">
      <w:pPr>
        <w:spacing w:line="240" w:lineRule="auto"/>
      </w:pPr>
      <w:r>
        <w:separator/>
      </w:r>
    </w:p>
  </w:footnote>
  <w:footnote w:type="continuationSeparator" w:id="0">
    <w:p w14:paraId="61CF4A37" w14:textId="77777777" w:rsidR="001576C6" w:rsidRDefault="001576C6"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431141">
    <w:abstractNumId w:val="7"/>
  </w:num>
  <w:num w:numId="2" w16cid:durableId="38092109">
    <w:abstractNumId w:val="8"/>
  </w:num>
  <w:num w:numId="3" w16cid:durableId="446390678">
    <w:abstractNumId w:val="2"/>
  </w:num>
  <w:num w:numId="4" w16cid:durableId="1583565864">
    <w:abstractNumId w:val="8"/>
  </w:num>
  <w:num w:numId="5" w16cid:durableId="1844390549">
    <w:abstractNumId w:val="0"/>
  </w:num>
  <w:num w:numId="6" w16cid:durableId="485636537">
    <w:abstractNumId w:val="4"/>
  </w:num>
  <w:num w:numId="7" w16cid:durableId="164978140">
    <w:abstractNumId w:val="3"/>
  </w:num>
  <w:num w:numId="8" w16cid:durableId="2129809826">
    <w:abstractNumId w:val="6"/>
  </w:num>
  <w:num w:numId="9" w16cid:durableId="430393107">
    <w:abstractNumId w:val="5"/>
  </w:num>
  <w:num w:numId="10" w16cid:durableId="139501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1266C0"/>
    <w:rsid w:val="00130536"/>
    <w:rsid w:val="00132C0D"/>
    <w:rsid w:val="00150151"/>
    <w:rsid w:val="001576C6"/>
    <w:rsid w:val="00162886"/>
    <w:rsid w:val="00166B27"/>
    <w:rsid w:val="0017638F"/>
    <w:rsid w:val="00182EA0"/>
    <w:rsid w:val="001B2BEF"/>
    <w:rsid w:val="001B52DF"/>
    <w:rsid w:val="001B5511"/>
    <w:rsid w:val="001D71A7"/>
    <w:rsid w:val="001E5F5B"/>
    <w:rsid w:val="002006A1"/>
    <w:rsid w:val="00216272"/>
    <w:rsid w:val="00217724"/>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9384F"/>
    <w:rsid w:val="003E383B"/>
    <w:rsid w:val="003F4AED"/>
    <w:rsid w:val="00405415"/>
    <w:rsid w:val="00406B3B"/>
    <w:rsid w:val="00411B7D"/>
    <w:rsid w:val="00470786"/>
    <w:rsid w:val="00471F92"/>
    <w:rsid w:val="00482326"/>
    <w:rsid w:val="004834D4"/>
    <w:rsid w:val="00491D9D"/>
    <w:rsid w:val="00492098"/>
    <w:rsid w:val="004D7DB2"/>
    <w:rsid w:val="004F53A0"/>
    <w:rsid w:val="005321A2"/>
    <w:rsid w:val="00547654"/>
    <w:rsid w:val="00551CA0"/>
    <w:rsid w:val="005542CF"/>
    <w:rsid w:val="005B2A95"/>
    <w:rsid w:val="005B6E23"/>
    <w:rsid w:val="005D031A"/>
    <w:rsid w:val="005D7124"/>
    <w:rsid w:val="005D7254"/>
    <w:rsid w:val="00601A22"/>
    <w:rsid w:val="00603E62"/>
    <w:rsid w:val="00650319"/>
    <w:rsid w:val="0065413A"/>
    <w:rsid w:val="00662DA6"/>
    <w:rsid w:val="0067277D"/>
    <w:rsid w:val="006918F0"/>
    <w:rsid w:val="00707D3D"/>
    <w:rsid w:val="007355C1"/>
    <w:rsid w:val="007454E4"/>
    <w:rsid w:val="007761A6"/>
    <w:rsid w:val="00777F73"/>
    <w:rsid w:val="0078100F"/>
    <w:rsid w:val="007831CF"/>
    <w:rsid w:val="0078724B"/>
    <w:rsid w:val="007C2529"/>
    <w:rsid w:val="007C7A66"/>
    <w:rsid w:val="007E0AFC"/>
    <w:rsid w:val="008218A8"/>
    <w:rsid w:val="00824906"/>
    <w:rsid w:val="00860C1C"/>
    <w:rsid w:val="00872332"/>
    <w:rsid w:val="008843CB"/>
    <w:rsid w:val="008C2A01"/>
    <w:rsid w:val="008C789F"/>
    <w:rsid w:val="008E7B34"/>
    <w:rsid w:val="009572C4"/>
    <w:rsid w:val="0098667B"/>
    <w:rsid w:val="00991A1D"/>
    <w:rsid w:val="009B308D"/>
    <w:rsid w:val="009D5C18"/>
    <w:rsid w:val="009E0691"/>
    <w:rsid w:val="00A0105F"/>
    <w:rsid w:val="00A06BCD"/>
    <w:rsid w:val="00A06F2D"/>
    <w:rsid w:val="00A32750"/>
    <w:rsid w:val="00A35678"/>
    <w:rsid w:val="00A545B1"/>
    <w:rsid w:val="00AA1954"/>
    <w:rsid w:val="00AB2C60"/>
    <w:rsid w:val="00AB32D7"/>
    <w:rsid w:val="00AE3529"/>
    <w:rsid w:val="00AE6FDF"/>
    <w:rsid w:val="00B03A64"/>
    <w:rsid w:val="00B14CE9"/>
    <w:rsid w:val="00B41DFE"/>
    <w:rsid w:val="00B4521F"/>
    <w:rsid w:val="00B74D10"/>
    <w:rsid w:val="00B92CCF"/>
    <w:rsid w:val="00BD0715"/>
    <w:rsid w:val="00C2285A"/>
    <w:rsid w:val="00C320A0"/>
    <w:rsid w:val="00C335ED"/>
    <w:rsid w:val="00C34FC3"/>
    <w:rsid w:val="00C673E5"/>
    <w:rsid w:val="00C92E59"/>
    <w:rsid w:val="00CA5621"/>
    <w:rsid w:val="00CB0F6B"/>
    <w:rsid w:val="00CB6720"/>
    <w:rsid w:val="00CD42A5"/>
    <w:rsid w:val="00D3149A"/>
    <w:rsid w:val="00D7328B"/>
    <w:rsid w:val="00D91E47"/>
    <w:rsid w:val="00D970B3"/>
    <w:rsid w:val="00DA7268"/>
    <w:rsid w:val="00DB7334"/>
    <w:rsid w:val="00DC13F2"/>
    <w:rsid w:val="00DC2CE9"/>
    <w:rsid w:val="00DD263A"/>
    <w:rsid w:val="00DE5EAE"/>
    <w:rsid w:val="00DF3E5A"/>
    <w:rsid w:val="00DF6DB3"/>
    <w:rsid w:val="00E0421D"/>
    <w:rsid w:val="00E46B21"/>
    <w:rsid w:val="00E658A2"/>
    <w:rsid w:val="00E7589F"/>
    <w:rsid w:val="00E86A6B"/>
    <w:rsid w:val="00E91F43"/>
    <w:rsid w:val="00EC7D6F"/>
    <w:rsid w:val="00ED0F4D"/>
    <w:rsid w:val="00EE3310"/>
    <w:rsid w:val="00F000DE"/>
    <w:rsid w:val="00F0299D"/>
    <w:rsid w:val="00F04B91"/>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cqs.com/documents/regulatory-disclosures/cqs_ucits_remuneration_polic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chart" Target="charts/chart2.xml"/><Relationship Id="rId10" Type="http://schemas.openxmlformats.org/officeDocument/2006/relationships/image" Target="media/image1.png"/><Relationship Id="rId19" Type="http://schemas.openxmlformats.org/officeDocument/2006/relationships/hyperlink" Target="https://kbassociates.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qsm.com\cqsnet\Group\Distribution\Client%20Service%20&amp;%20Marketing\Client%20Service\KIIDs\UCITS%20KIID%20performance%20graphs%20Jun%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qsm.com\cqsnet\Group\Distribution\Client%20Service%20&amp;%20Marketing\Client%20Service\KIIDs\UCITS%20KIID%20performance%20graphs%20Jun%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rgbClr val="336600"/>
                </a:solidFill>
              </a:defRPr>
            </a:pPr>
            <a:r>
              <a:rPr lang="en-US" sz="1000"/>
              <a:t>E2 Acc GBP</a:t>
            </a:r>
          </a:p>
        </c:rich>
      </c:tx>
      <c:overlay val="0"/>
    </c:title>
    <c:autoTitleDeleted val="0"/>
    <c:plotArea>
      <c:layout>
        <c:manualLayout>
          <c:layoutTarget val="inner"/>
          <c:xMode val="edge"/>
          <c:yMode val="edge"/>
          <c:x val="0.20608602382991462"/>
          <c:y val="0.23077040189813647"/>
          <c:w val="0.7474514629705078"/>
          <c:h val="0.62390245550231682"/>
        </c:manualLayout>
      </c:layout>
      <c:barChart>
        <c:barDir val="col"/>
        <c:grouping val="clustered"/>
        <c:varyColors val="0"/>
        <c:ser>
          <c:idx val="0"/>
          <c:order val="0"/>
          <c:tx>
            <c:strRef>
              <c:f>Salar!$H$227</c:f>
              <c:strCache>
                <c:ptCount val="1"/>
                <c:pt idx="0">
                  <c:v>E2 GBP Shs</c:v>
                </c:pt>
              </c:strCache>
            </c:strRef>
          </c:tx>
          <c:spPr>
            <a:solidFill>
              <a:srgbClr val="336600"/>
            </a:solidFill>
          </c:spPr>
          <c:invertIfNegative val="0"/>
          <c:cat>
            <c:numRef>
              <c:f>Salar!$F$236:$F$240</c:f>
              <c:numCache>
                <c:formatCode>General</c:formatCode>
                <c:ptCount val="5"/>
                <c:pt idx="0">
                  <c:v>2017</c:v>
                </c:pt>
                <c:pt idx="1">
                  <c:v>2018</c:v>
                </c:pt>
                <c:pt idx="2">
                  <c:v>2019</c:v>
                </c:pt>
                <c:pt idx="3">
                  <c:v>2020</c:v>
                </c:pt>
                <c:pt idx="4">
                  <c:v>2021</c:v>
                </c:pt>
              </c:numCache>
            </c:numRef>
          </c:cat>
          <c:val>
            <c:numRef>
              <c:f>Salar!$H$236:$H$240</c:f>
              <c:numCache>
                <c:formatCode>0.00%</c:formatCode>
                <c:ptCount val="5"/>
                <c:pt idx="0">
                  <c:v>0</c:v>
                </c:pt>
                <c:pt idx="1">
                  <c:v>0</c:v>
                </c:pt>
                <c:pt idx="2">
                  <c:v>0</c:v>
                </c:pt>
                <c:pt idx="3">
                  <c:v>0</c:v>
                </c:pt>
                <c:pt idx="4" formatCode="0.000%">
                  <c:v>-1.4811568799299008E-2</c:v>
                </c:pt>
              </c:numCache>
            </c:numRef>
          </c:val>
          <c:extLst>
            <c:ext xmlns:c16="http://schemas.microsoft.com/office/drawing/2014/chart" uri="{C3380CC4-5D6E-409C-BE32-E72D297353CC}">
              <c16:uniqueId val="{00000000-822C-4BDD-A18A-7967C39BB8E1}"/>
            </c:ext>
          </c:extLst>
        </c:ser>
        <c:dLbls>
          <c:showLegendKey val="0"/>
          <c:showVal val="0"/>
          <c:showCatName val="0"/>
          <c:showSerName val="0"/>
          <c:showPercent val="0"/>
          <c:showBubbleSize val="0"/>
        </c:dLbls>
        <c:gapWidth val="30"/>
        <c:axId val="63488768"/>
        <c:axId val="63490304"/>
      </c:barChart>
      <c:catAx>
        <c:axId val="63488768"/>
        <c:scaling>
          <c:orientation val="minMax"/>
        </c:scaling>
        <c:delete val="0"/>
        <c:axPos val="b"/>
        <c:majorGridlines>
          <c:spPr>
            <a:ln>
              <a:noFill/>
            </a:ln>
          </c:spPr>
        </c:majorGridlines>
        <c:numFmt formatCode="General" sourceLinked="1"/>
        <c:majorTickMark val="out"/>
        <c:minorTickMark val="none"/>
        <c:tickLblPos val="low"/>
        <c:txPr>
          <a:bodyPr/>
          <a:lstStyle/>
          <a:p>
            <a:pPr>
              <a:defRPr sz="700"/>
            </a:pPr>
            <a:endParaRPr lang="en-US"/>
          </a:p>
        </c:txPr>
        <c:crossAx val="63490304"/>
        <c:crosses val="autoZero"/>
        <c:auto val="0"/>
        <c:lblAlgn val="ctr"/>
        <c:lblOffset val="100"/>
        <c:noMultiLvlLbl val="0"/>
      </c:catAx>
      <c:valAx>
        <c:axId val="63490304"/>
        <c:scaling>
          <c:orientation val="minMax"/>
        </c:scaling>
        <c:delete val="0"/>
        <c:axPos val="l"/>
        <c:majorGridlines>
          <c:spPr>
            <a:ln>
              <a:noFill/>
            </a:ln>
          </c:spPr>
        </c:majorGridlines>
        <c:numFmt formatCode="0.0%" sourceLinked="0"/>
        <c:majorTickMark val="out"/>
        <c:minorTickMark val="none"/>
        <c:tickLblPos val="nextTo"/>
        <c:txPr>
          <a:bodyPr/>
          <a:lstStyle/>
          <a:p>
            <a:pPr>
              <a:defRPr sz="700"/>
            </a:pPr>
            <a:endParaRPr lang="en-US"/>
          </a:p>
        </c:txPr>
        <c:crossAx val="63488768"/>
        <c:crosses val="autoZero"/>
        <c:crossBetween val="between"/>
        <c:majorUnit val="5.000000000000001E-3"/>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rgbClr val="336600"/>
                </a:solidFill>
              </a:defRPr>
            </a:pPr>
            <a:r>
              <a:rPr lang="en-US" sz="1000"/>
              <a:t>E2 Acc USD </a:t>
            </a:r>
          </a:p>
        </c:rich>
      </c:tx>
      <c:overlay val="0"/>
    </c:title>
    <c:autoTitleDeleted val="0"/>
    <c:plotArea>
      <c:layout>
        <c:manualLayout>
          <c:layoutTarget val="inner"/>
          <c:xMode val="edge"/>
          <c:yMode val="edge"/>
          <c:x val="0.20608602382991462"/>
          <c:y val="0.23077040189813647"/>
          <c:w val="0.7474514629705078"/>
          <c:h val="0.62390245550231682"/>
        </c:manualLayout>
      </c:layout>
      <c:barChart>
        <c:barDir val="col"/>
        <c:grouping val="clustered"/>
        <c:varyColors val="0"/>
        <c:ser>
          <c:idx val="0"/>
          <c:order val="0"/>
          <c:tx>
            <c:strRef>
              <c:f>Salar!$N$227</c:f>
              <c:strCache>
                <c:ptCount val="1"/>
                <c:pt idx="0">
                  <c:v>E2 USD Shs</c:v>
                </c:pt>
              </c:strCache>
            </c:strRef>
          </c:tx>
          <c:spPr>
            <a:solidFill>
              <a:srgbClr val="336600"/>
            </a:solidFill>
          </c:spPr>
          <c:invertIfNegative val="0"/>
          <c:cat>
            <c:numRef>
              <c:f>Salar!$A$236:$A$240</c:f>
              <c:numCache>
                <c:formatCode>General</c:formatCode>
                <c:ptCount val="5"/>
                <c:pt idx="0">
                  <c:v>2017</c:v>
                </c:pt>
                <c:pt idx="1">
                  <c:v>2018</c:v>
                </c:pt>
                <c:pt idx="2">
                  <c:v>2019</c:v>
                </c:pt>
                <c:pt idx="3">
                  <c:v>2020</c:v>
                </c:pt>
                <c:pt idx="4">
                  <c:v>2021</c:v>
                </c:pt>
              </c:numCache>
            </c:numRef>
          </c:cat>
          <c:val>
            <c:numRef>
              <c:f>Salar!$N$236:$N$240</c:f>
              <c:numCache>
                <c:formatCode>0.00%</c:formatCode>
                <c:ptCount val="5"/>
                <c:pt idx="0">
                  <c:v>0</c:v>
                </c:pt>
                <c:pt idx="1">
                  <c:v>0</c:v>
                </c:pt>
                <c:pt idx="2">
                  <c:v>0</c:v>
                </c:pt>
                <c:pt idx="3">
                  <c:v>0</c:v>
                </c:pt>
                <c:pt idx="4" formatCode="0.000%">
                  <c:v>-1.3648193994794717E-2</c:v>
                </c:pt>
              </c:numCache>
            </c:numRef>
          </c:val>
          <c:extLst>
            <c:ext xmlns:c16="http://schemas.microsoft.com/office/drawing/2014/chart" uri="{C3380CC4-5D6E-409C-BE32-E72D297353CC}">
              <c16:uniqueId val="{00000000-2A5A-4D65-93BA-09428D43E1C8}"/>
            </c:ext>
          </c:extLst>
        </c:ser>
        <c:dLbls>
          <c:showLegendKey val="0"/>
          <c:showVal val="0"/>
          <c:showCatName val="0"/>
          <c:showSerName val="0"/>
          <c:showPercent val="0"/>
          <c:showBubbleSize val="0"/>
        </c:dLbls>
        <c:gapWidth val="30"/>
        <c:axId val="63488768"/>
        <c:axId val="63490304"/>
      </c:barChart>
      <c:catAx>
        <c:axId val="63488768"/>
        <c:scaling>
          <c:orientation val="minMax"/>
        </c:scaling>
        <c:delete val="0"/>
        <c:axPos val="b"/>
        <c:majorGridlines>
          <c:spPr>
            <a:ln>
              <a:noFill/>
            </a:ln>
          </c:spPr>
        </c:majorGridlines>
        <c:numFmt formatCode="General" sourceLinked="1"/>
        <c:majorTickMark val="out"/>
        <c:minorTickMark val="none"/>
        <c:tickLblPos val="low"/>
        <c:txPr>
          <a:bodyPr/>
          <a:lstStyle/>
          <a:p>
            <a:pPr>
              <a:defRPr sz="700"/>
            </a:pPr>
            <a:endParaRPr lang="en-US"/>
          </a:p>
        </c:txPr>
        <c:crossAx val="63490304"/>
        <c:crosses val="autoZero"/>
        <c:auto val="0"/>
        <c:lblAlgn val="ctr"/>
        <c:lblOffset val="100"/>
        <c:noMultiLvlLbl val="0"/>
      </c:catAx>
      <c:valAx>
        <c:axId val="63490304"/>
        <c:scaling>
          <c:orientation val="minMax"/>
        </c:scaling>
        <c:delete val="0"/>
        <c:axPos val="l"/>
        <c:majorGridlines>
          <c:spPr>
            <a:ln>
              <a:noFill/>
            </a:ln>
          </c:spPr>
        </c:majorGridlines>
        <c:numFmt formatCode="0.0%" sourceLinked="0"/>
        <c:majorTickMark val="out"/>
        <c:minorTickMark val="none"/>
        <c:tickLblPos val="nextTo"/>
        <c:txPr>
          <a:bodyPr/>
          <a:lstStyle/>
          <a:p>
            <a:pPr>
              <a:defRPr sz="700"/>
            </a:pPr>
            <a:endParaRPr lang="en-US"/>
          </a:p>
        </c:txPr>
        <c:crossAx val="63488768"/>
        <c:crosses val="autoZero"/>
        <c:crossBetween val="between"/>
        <c:majorUnit val="5.000000000000001E-3"/>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Caitlin</dc:creator>
  <cp:keywords/>
  <dc:description/>
  <cp:lastModifiedBy>Window, Simon</cp:lastModifiedBy>
  <cp:revision>10</cp:revision>
  <cp:lastPrinted>2022-03-14T12:29:00Z</cp:lastPrinted>
  <dcterms:created xsi:type="dcterms:W3CDTF">2022-06-13T09:11:00Z</dcterms:created>
  <dcterms:modified xsi:type="dcterms:W3CDTF">2022-11-01T10:52:00Z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