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75409ED" w:rsidR="005B6E23" w:rsidRDefault="00447C2B" w:rsidP="005B6E23">
      <w:r>
        <w:rPr>
          <w:noProof/>
          <w:lang w:val="de-DE" w:eastAsia="ja-JP"/>
        </w:rPr>
        <mc:AlternateContent>
          <mc:Choice Requires="wps">
            <w:drawing>
              <wp:anchor distT="0" distB="0" distL="114300" distR="114300" simplePos="0" relativeHeight="251659264" behindDoc="0" locked="0" layoutInCell="1" allowOverlap="1" wp14:anchorId="28A12853" wp14:editId="219C7A16">
                <wp:simplePos x="0" y="0"/>
                <wp:positionH relativeFrom="column">
                  <wp:posOffset>-561975</wp:posOffset>
                </wp:positionH>
                <wp:positionV relativeFrom="paragraph">
                  <wp:posOffset>-590551</wp:posOffset>
                </wp:positionV>
                <wp:extent cx="4962525" cy="8477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" fillcolor="#cce1da" stroked="f" strokecolor="#006747" strokeweight="1pt">
                <v:textbo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4E0DB358">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7D73F818">
                <wp:simplePos x="0" y="0"/>
                <wp:positionH relativeFrom="page">
                  <wp:posOffset>238125</wp:posOffset>
                </wp:positionH>
                <wp:positionV relativeFrom="paragraph">
                  <wp:posOffset>171450</wp:posOffset>
                </wp:positionV>
                <wp:extent cx="6965950" cy="114300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14300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 xml:space="preserve">Salar </w:t>
                            </w:r>
                            <w:r w:rsidRPr="00544424">
                              <w:rPr>
                                <w:rFonts w:cs="Arial"/>
                                <w:b/>
                                <w:bCs/>
                                <w:color w:val="FFFFFF"/>
                                <w:sz w:val="30"/>
                                <w:szCs w:val="30"/>
                                <w:lang w:val="it-IT"/>
                              </w:rPr>
                              <w:t>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3C0A8A32" w:rsidR="008D0391" w:rsidRPr="005D7124" w:rsidRDefault="008D0391" w:rsidP="00CD3E1C">
                                  <w:pPr>
                                    <w:spacing w:after="80" w:line="300" w:lineRule="exact"/>
                                    <w:rPr>
                                      <w:rFonts w:cs="Arial"/>
                                      <w:color w:val="FFFFFF"/>
                                      <w:sz w:val="24"/>
                                      <w:szCs w:val="25"/>
                                    </w:rPr>
                                  </w:pPr>
                                  <w:r w:rsidRPr="00447C2B">
                                    <w:rPr>
                                      <w:rFonts w:cs="Arial"/>
                                      <w:color w:val="FFFFFF"/>
                                      <w:szCs w:val="21"/>
                                    </w:rPr>
                                    <w:t xml:space="preserve">Class </w:t>
                                  </w:r>
                                  <w:r w:rsidR="00CD3E1C">
                                    <w:rPr>
                                      <w:rFonts w:cs="Arial"/>
                                      <w:color w:val="FFFFFF"/>
                                      <w:szCs w:val="21"/>
                                    </w:rPr>
                                    <w:t xml:space="preserve">E1 </w:t>
                                  </w:r>
                                  <w:proofErr w:type="spellStart"/>
                                  <w:r w:rsidR="00CD3E1C">
                                    <w:rPr>
                                      <w:rFonts w:cs="Arial"/>
                                      <w:color w:val="FFFFFF"/>
                                      <w:szCs w:val="21"/>
                                    </w:rPr>
                                    <w:t>Dist</w:t>
                                  </w:r>
                                  <w:proofErr w:type="spellEnd"/>
                                  <w:r w:rsidR="00CD3E1C">
                                    <w:rPr>
                                      <w:rFonts w:cs="Arial"/>
                                      <w:color w:val="FFFFFF"/>
                                      <w:szCs w:val="21"/>
                                    </w:rPr>
                                    <w:t xml:space="preserve"> EUR </w:t>
                                  </w:r>
                                  <w:r w:rsidRPr="00447C2B">
                                    <w:rPr>
                                      <w:rFonts w:cs="Arial"/>
                                      <w:color w:val="FFFFFF"/>
                                      <w:szCs w:val="21"/>
                                    </w:rPr>
                                    <w:t>(</w:t>
                                  </w:r>
                                  <w:r w:rsidR="00CD3E1C">
                                    <w:rPr>
                                      <w:rFonts w:cs="Arial"/>
                                      <w:color w:val="FFFFFF"/>
                                      <w:szCs w:val="21"/>
                                    </w:rPr>
                                    <w:t>a</w:t>
                                  </w:r>
                                  <w:r w:rsidR="00CD3E1C" w:rsidRPr="00BA53C7">
                                    <w:rPr>
                                      <w:rFonts w:cs="Arial"/>
                                      <w:color w:val="FFFFFF"/>
                                      <w:szCs w:val="21"/>
                                    </w:rPr>
                                    <w:t xml:space="preserve"> </w:t>
                                  </w:r>
                                  <w:proofErr w:type="spellStart"/>
                                  <w:r w:rsidR="00CD3E1C" w:rsidRPr="00BA53C7">
                                    <w:rPr>
                                      <w:rFonts w:cs="Arial"/>
                                      <w:color w:val="FFFFFF"/>
                                      <w:szCs w:val="21"/>
                                    </w:rPr>
                                    <w:t>distribuzione</w:t>
                                  </w:r>
                                  <w:proofErr w:type="spellEnd"/>
                                  <w:r w:rsidRPr="00447C2B">
                                    <w:rPr>
                                      <w:rFonts w:cs="Arial"/>
                                      <w:color w:val="FFFFFF"/>
                                      <w:szCs w:val="21"/>
                                    </w:rPr>
                                    <w:t>) (ISIN:</w:t>
                                  </w:r>
                                  <w:r w:rsidR="0013634F">
                                    <w:t xml:space="preserve"> </w:t>
                                  </w:r>
                                  <w:r w:rsidR="0013634F" w:rsidRPr="0013634F">
                                    <w:rPr>
                                      <w:rFonts w:cs="Arial"/>
                                      <w:color w:val="FFFFFF"/>
                                      <w:szCs w:val="21"/>
                                    </w:rPr>
                                    <w:t>IE00BBR6N535</w:t>
                                  </w:r>
                                  <w:r w:rsidRPr="00447C2B">
                                    <w:rPr>
                                      <w:rFonts w:cs="Arial"/>
                                      <w:color w:val="FFFFFF"/>
                                      <w:szCs w:val="21"/>
                                    </w:rPr>
                                    <w:t>)</w:t>
                                  </w:r>
                                </w:p>
                              </w:tc>
                              <w:tc>
                                <w:tcPr>
                                  <w:tcW w:w="5452" w:type="dxa"/>
                                </w:tcPr>
                                <w:p w14:paraId="0D06B7D6" w14:textId="70C80B82" w:rsidR="008D0391" w:rsidRPr="00447C2B" w:rsidRDefault="008D0391" w:rsidP="00CD3E1C">
                                  <w:pPr>
                                    <w:spacing w:after="80" w:line="300" w:lineRule="exact"/>
                                    <w:rPr>
                                      <w:rFonts w:cs="Arial"/>
                                      <w:color w:val="FFFFFF"/>
                                    </w:rPr>
                                  </w:pPr>
                                  <w:r w:rsidRPr="00447C2B">
                                    <w:rPr>
                                      <w:rFonts w:cs="Arial"/>
                                      <w:color w:val="FFFFFF"/>
                                    </w:rPr>
                                    <w:t xml:space="preserve">Class </w:t>
                                  </w:r>
                                  <w:r w:rsidR="00CD3E1C">
                                    <w:rPr>
                                      <w:rFonts w:cs="Arial"/>
                                      <w:color w:val="FFFFFF"/>
                                    </w:rPr>
                                    <w:t xml:space="preserve">E1 </w:t>
                                  </w:r>
                                  <w:proofErr w:type="spellStart"/>
                                  <w:r w:rsidR="00CD3E1C">
                                    <w:rPr>
                                      <w:rFonts w:cs="Arial"/>
                                      <w:color w:val="FFFFFF"/>
                                    </w:rPr>
                                    <w:t>Dist</w:t>
                                  </w:r>
                                  <w:proofErr w:type="spellEnd"/>
                                  <w:r w:rsidR="00CD3E1C">
                                    <w:rPr>
                                      <w:rFonts w:cs="Arial"/>
                                      <w:color w:val="FFFFFF"/>
                                    </w:rPr>
                                    <w:t xml:space="preserve"> GBP</w:t>
                                  </w:r>
                                  <w:r w:rsidRPr="00447C2B">
                                    <w:rPr>
                                      <w:rFonts w:cs="Arial"/>
                                      <w:color w:val="FFFFFF"/>
                                    </w:rPr>
                                    <w:t xml:space="preserve"> (</w:t>
                                  </w:r>
                                  <w:r w:rsidR="00CD3E1C">
                                    <w:rPr>
                                      <w:rFonts w:cs="Arial"/>
                                      <w:color w:val="FFFFFF"/>
                                      <w:szCs w:val="21"/>
                                    </w:rPr>
                                    <w:t>a</w:t>
                                  </w:r>
                                  <w:r w:rsidR="00CD3E1C" w:rsidRPr="00BA53C7">
                                    <w:rPr>
                                      <w:rFonts w:cs="Arial"/>
                                      <w:color w:val="FFFFFF"/>
                                      <w:szCs w:val="21"/>
                                    </w:rPr>
                                    <w:t xml:space="preserve"> </w:t>
                                  </w:r>
                                  <w:proofErr w:type="spellStart"/>
                                  <w:r w:rsidR="00CD3E1C" w:rsidRPr="00BA53C7">
                                    <w:rPr>
                                      <w:rFonts w:cs="Arial"/>
                                      <w:color w:val="FFFFFF"/>
                                      <w:szCs w:val="21"/>
                                    </w:rPr>
                                    <w:t>distribuzione</w:t>
                                  </w:r>
                                  <w:proofErr w:type="spellEnd"/>
                                  <w:r w:rsidRPr="00447C2B">
                                    <w:rPr>
                                      <w:rFonts w:cs="Arial"/>
                                      <w:color w:val="FFFFFF"/>
                                    </w:rPr>
                                    <w:t>) (ISIN:</w:t>
                                  </w:r>
                                  <w:r w:rsidR="0013634F">
                                    <w:t xml:space="preserve"> </w:t>
                                  </w:r>
                                  <w:r w:rsidR="0013634F" w:rsidRPr="0013634F">
                                    <w:rPr>
                                      <w:rFonts w:cs="Arial"/>
                                      <w:color w:val="FFFFFF"/>
                                    </w:rPr>
                                    <w:t>IE00BBR6N758</w:t>
                                  </w:r>
                                  <w:r w:rsidRPr="00447C2B">
                                    <w:rPr>
                                      <w:rFonts w:cs="Arial"/>
                                      <w:color w:val="FFFFFF"/>
                                    </w:rPr>
                                    <w:t>)</w:t>
                                  </w:r>
                                </w:p>
                              </w:tc>
                            </w:tr>
                            <w:tr w:rsidR="008D0391" w:rsidRPr="00447C2B" w14:paraId="250F892C" w14:textId="77777777" w:rsidTr="005D7124">
                              <w:trPr>
                                <w:trHeight w:val="345"/>
                                <w:jc w:val="center"/>
                              </w:trPr>
                              <w:tc>
                                <w:tcPr>
                                  <w:tcW w:w="5383" w:type="dxa"/>
                                </w:tcPr>
                                <w:p w14:paraId="7F65084C" w14:textId="27F42A7A" w:rsidR="008D0391" w:rsidRPr="00447C2B" w:rsidRDefault="008D0391" w:rsidP="00447C2B">
                                  <w:pPr>
                                    <w:spacing w:after="80" w:line="300" w:lineRule="exact"/>
                                    <w:jc w:val="left"/>
                                    <w:rPr>
                                      <w:rFonts w:cs="Arial"/>
                                      <w:color w:val="FFFFFF"/>
                                    </w:rPr>
                                  </w:pP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9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" fillcolor="#006747" stroked="f">
                <v:textbox inset="3.5mm,3.3mm,3.5mm,3.3mm">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 xml:space="preserve">Salar </w:t>
                      </w:r>
                      <w:r w:rsidRPr="00544424">
                        <w:rPr>
                          <w:rFonts w:cs="Arial"/>
                          <w:b/>
                          <w:bCs/>
                          <w:color w:val="FFFFFF"/>
                          <w:sz w:val="30"/>
                          <w:szCs w:val="30"/>
                          <w:lang w:val="it-IT"/>
                        </w:rPr>
                        <w:t>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3C0A8A32" w:rsidR="008D0391" w:rsidRPr="005D7124" w:rsidRDefault="008D0391" w:rsidP="00CD3E1C">
                            <w:pPr>
                              <w:spacing w:after="80" w:line="300" w:lineRule="exact"/>
                              <w:rPr>
                                <w:rFonts w:cs="Arial"/>
                                <w:color w:val="FFFFFF"/>
                                <w:sz w:val="24"/>
                                <w:szCs w:val="25"/>
                              </w:rPr>
                            </w:pPr>
                            <w:r w:rsidRPr="00447C2B">
                              <w:rPr>
                                <w:rFonts w:cs="Arial"/>
                                <w:color w:val="FFFFFF"/>
                                <w:szCs w:val="21"/>
                              </w:rPr>
                              <w:t xml:space="preserve">Class </w:t>
                            </w:r>
                            <w:r w:rsidR="00CD3E1C">
                              <w:rPr>
                                <w:rFonts w:cs="Arial"/>
                                <w:color w:val="FFFFFF"/>
                                <w:szCs w:val="21"/>
                              </w:rPr>
                              <w:t xml:space="preserve">E1 </w:t>
                            </w:r>
                            <w:proofErr w:type="spellStart"/>
                            <w:r w:rsidR="00CD3E1C">
                              <w:rPr>
                                <w:rFonts w:cs="Arial"/>
                                <w:color w:val="FFFFFF"/>
                                <w:szCs w:val="21"/>
                              </w:rPr>
                              <w:t>Dist</w:t>
                            </w:r>
                            <w:proofErr w:type="spellEnd"/>
                            <w:r w:rsidR="00CD3E1C">
                              <w:rPr>
                                <w:rFonts w:cs="Arial"/>
                                <w:color w:val="FFFFFF"/>
                                <w:szCs w:val="21"/>
                              </w:rPr>
                              <w:t xml:space="preserve"> EUR </w:t>
                            </w:r>
                            <w:r w:rsidRPr="00447C2B">
                              <w:rPr>
                                <w:rFonts w:cs="Arial"/>
                                <w:color w:val="FFFFFF"/>
                                <w:szCs w:val="21"/>
                              </w:rPr>
                              <w:t>(</w:t>
                            </w:r>
                            <w:r w:rsidR="00CD3E1C">
                              <w:rPr>
                                <w:rFonts w:cs="Arial"/>
                                <w:color w:val="FFFFFF"/>
                                <w:szCs w:val="21"/>
                              </w:rPr>
                              <w:t>a</w:t>
                            </w:r>
                            <w:r w:rsidR="00CD3E1C" w:rsidRPr="00BA53C7">
                              <w:rPr>
                                <w:rFonts w:cs="Arial"/>
                                <w:color w:val="FFFFFF"/>
                                <w:szCs w:val="21"/>
                              </w:rPr>
                              <w:t xml:space="preserve"> </w:t>
                            </w:r>
                            <w:proofErr w:type="spellStart"/>
                            <w:r w:rsidR="00CD3E1C" w:rsidRPr="00BA53C7">
                              <w:rPr>
                                <w:rFonts w:cs="Arial"/>
                                <w:color w:val="FFFFFF"/>
                                <w:szCs w:val="21"/>
                              </w:rPr>
                              <w:t>distribuzione</w:t>
                            </w:r>
                            <w:proofErr w:type="spellEnd"/>
                            <w:r w:rsidRPr="00447C2B">
                              <w:rPr>
                                <w:rFonts w:cs="Arial"/>
                                <w:color w:val="FFFFFF"/>
                                <w:szCs w:val="21"/>
                              </w:rPr>
                              <w:t>) (ISIN:</w:t>
                            </w:r>
                            <w:r w:rsidR="0013634F">
                              <w:t xml:space="preserve"> </w:t>
                            </w:r>
                            <w:r w:rsidR="0013634F" w:rsidRPr="0013634F">
                              <w:rPr>
                                <w:rFonts w:cs="Arial"/>
                                <w:color w:val="FFFFFF"/>
                                <w:szCs w:val="21"/>
                              </w:rPr>
                              <w:t>IE00BBR6N535</w:t>
                            </w:r>
                            <w:r w:rsidRPr="00447C2B">
                              <w:rPr>
                                <w:rFonts w:cs="Arial"/>
                                <w:color w:val="FFFFFF"/>
                                <w:szCs w:val="21"/>
                              </w:rPr>
                              <w:t>)</w:t>
                            </w:r>
                          </w:p>
                        </w:tc>
                        <w:tc>
                          <w:tcPr>
                            <w:tcW w:w="5452" w:type="dxa"/>
                          </w:tcPr>
                          <w:p w14:paraId="0D06B7D6" w14:textId="70C80B82" w:rsidR="008D0391" w:rsidRPr="00447C2B" w:rsidRDefault="008D0391" w:rsidP="00CD3E1C">
                            <w:pPr>
                              <w:spacing w:after="80" w:line="300" w:lineRule="exact"/>
                              <w:rPr>
                                <w:rFonts w:cs="Arial"/>
                                <w:color w:val="FFFFFF"/>
                              </w:rPr>
                            </w:pPr>
                            <w:r w:rsidRPr="00447C2B">
                              <w:rPr>
                                <w:rFonts w:cs="Arial"/>
                                <w:color w:val="FFFFFF"/>
                              </w:rPr>
                              <w:t xml:space="preserve">Class </w:t>
                            </w:r>
                            <w:r w:rsidR="00CD3E1C">
                              <w:rPr>
                                <w:rFonts w:cs="Arial"/>
                                <w:color w:val="FFFFFF"/>
                              </w:rPr>
                              <w:t xml:space="preserve">E1 </w:t>
                            </w:r>
                            <w:proofErr w:type="spellStart"/>
                            <w:r w:rsidR="00CD3E1C">
                              <w:rPr>
                                <w:rFonts w:cs="Arial"/>
                                <w:color w:val="FFFFFF"/>
                              </w:rPr>
                              <w:t>Dist</w:t>
                            </w:r>
                            <w:proofErr w:type="spellEnd"/>
                            <w:r w:rsidR="00CD3E1C">
                              <w:rPr>
                                <w:rFonts w:cs="Arial"/>
                                <w:color w:val="FFFFFF"/>
                              </w:rPr>
                              <w:t xml:space="preserve"> GBP</w:t>
                            </w:r>
                            <w:r w:rsidRPr="00447C2B">
                              <w:rPr>
                                <w:rFonts w:cs="Arial"/>
                                <w:color w:val="FFFFFF"/>
                              </w:rPr>
                              <w:t xml:space="preserve"> (</w:t>
                            </w:r>
                            <w:r w:rsidR="00CD3E1C">
                              <w:rPr>
                                <w:rFonts w:cs="Arial"/>
                                <w:color w:val="FFFFFF"/>
                                <w:szCs w:val="21"/>
                              </w:rPr>
                              <w:t>a</w:t>
                            </w:r>
                            <w:r w:rsidR="00CD3E1C" w:rsidRPr="00BA53C7">
                              <w:rPr>
                                <w:rFonts w:cs="Arial"/>
                                <w:color w:val="FFFFFF"/>
                                <w:szCs w:val="21"/>
                              </w:rPr>
                              <w:t xml:space="preserve"> </w:t>
                            </w:r>
                            <w:proofErr w:type="spellStart"/>
                            <w:r w:rsidR="00CD3E1C" w:rsidRPr="00BA53C7">
                              <w:rPr>
                                <w:rFonts w:cs="Arial"/>
                                <w:color w:val="FFFFFF"/>
                                <w:szCs w:val="21"/>
                              </w:rPr>
                              <w:t>distribuzione</w:t>
                            </w:r>
                            <w:proofErr w:type="spellEnd"/>
                            <w:r w:rsidRPr="00447C2B">
                              <w:rPr>
                                <w:rFonts w:cs="Arial"/>
                                <w:color w:val="FFFFFF"/>
                              </w:rPr>
                              <w:t>) (ISIN:</w:t>
                            </w:r>
                            <w:r w:rsidR="0013634F">
                              <w:t xml:space="preserve"> </w:t>
                            </w:r>
                            <w:r w:rsidR="0013634F" w:rsidRPr="0013634F">
                              <w:rPr>
                                <w:rFonts w:cs="Arial"/>
                                <w:color w:val="FFFFFF"/>
                              </w:rPr>
                              <w:t>IE00BBR6N758</w:t>
                            </w:r>
                            <w:r w:rsidRPr="00447C2B">
                              <w:rPr>
                                <w:rFonts w:cs="Arial"/>
                                <w:color w:val="FFFFFF"/>
                              </w:rPr>
                              <w:t>)</w:t>
                            </w:r>
                          </w:p>
                        </w:tc>
                      </w:tr>
                      <w:tr w:rsidR="008D0391" w:rsidRPr="00447C2B" w14:paraId="250F892C" w14:textId="77777777" w:rsidTr="005D7124">
                        <w:trPr>
                          <w:trHeight w:val="345"/>
                          <w:jc w:val="center"/>
                        </w:trPr>
                        <w:tc>
                          <w:tcPr>
                            <w:tcW w:w="5383" w:type="dxa"/>
                          </w:tcPr>
                          <w:p w14:paraId="7F65084C" w14:textId="27F42A7A" w:rsidR="008D0391" w:rsidRPr="00447C2B" w:rsidRDefault="008D0391" w:rsidP="00447C2B">
                            <w:pPr>
                              <w:spacing w:after="80" w:line="300" w:lineRule="exact"/>
                              <w:jc w:val="left"/>
                              <w:rPr>
                                <w:rFonts w:cs="Arial"/>
                                <w:color w:val="FFFFFF"/>
                              </w:rPr>
                            </w:pP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v:textbox>
                <w10:wrap anchorx="page"/>
              </v:shape>
            </w:pict>
          </mc:Fallback>
        </mc:AlternateContent>
      </w:r>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762B1271" w:rsidR="005B6E23" w:rsidRDefault="00CD3E1C">
      <w:pPr>
        <w:widowControl/>
        <w:spacing w:after="160" w:line="259" w:lineRule="auto"/>
        <w:jc w:val="left"/>
      </w:pPr>
      <w:r>
        <w:rPr>
          <w:noProof/>
          <w:lang w:val="de-DE" w:eastAsia="ja-JP"/>
        </w:rPr>
        <mc:AlternateContent>
          <mc:Choice Requires="wps">
            <w:drawing>
              <wp:anchor distT="0" distB="0" distL="114300" distR="114300" simplePos="0" relativeHeight="251706368" behindDoc="0" locked="0" layoutInCell="1" allowOverlap="1" wp14:anchorId="00B1B62C" wp14:editId="00293E4F">
                <wp:simplePos x="0" y="0"/>
                <wp:positionH relativeFrom="column">
                  <wp:posOffset>-466725</wp:posOffset>
                </wp:positionH>
                <wp:positionV relativeFrom="paragraph">
                  <wp:posOffset>4543425</wp:posOffset>
                </wp:positionV>
                <wp:extent cx="3204210" cy="1076325"/>
                <wp:effectExtent l="0" t="0" r="15240" b="2857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10763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8D0391" w:rsidRDefault="008D0391"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28" style="position:absolute;margin-left:-36.75pt;margin-top:357.75pt;width:252.3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" filled="f" strokecolor="#006747">
                <v:textbox>
                  <w:txbxContent>
                    <w:p w14:paraId="761AD6B8" w14:textId="77777777" w:rsidR="008D0391" w:rsidRDefault="008D0391" w:rsidP="005B6E23"/>
                  </w:txbxContent>
                </v:textbox>
              </v:rect>
            </w:pict>
          </mc:Fallback>
        </mc:AlternateContent>
      </w:r>
      <w:r>
        <w:rPr>
          <w:noProof/>
          <w:lang w:val="de-DE" w:eastAsia="ja-JP"/>
        </w:rPr>
        <mc:AlternateContent>
          <mc:Choice Requires="wps">
            <w:drawing>
              <wp:anchor distT="0" distB="0" distL="114300" distR="114300" simplePos="0" relativeHeight="251655164" behindDoc="0" locked="0" layoutInCell="1" allowOverlap="1" wp14:anchorId="54F53EE3" wp14:editId="149B6427">
                <wp:simplePos x="0" y="0"/>
                <wp:positionH relativeFrom="column">
                  <wp:posOffset>-545465</wp:posOffset>
                </wp:positionH>
                <wp:positionV relativeFrom="paragraph">
                  <wp:posOffset>4454525</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29" type="#_x0000_t202" style="position:absolute;margin-left:-42.95pt;margin-top:350.75pt;width:271pt;height:367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v:textbox>
              </v:shape>
            </w:pict>
          </mc:Fallback>
        </mc:AlternateContent>
      </w:r>
      <w:r>
        <w:rPr>
          <w:noProof/>
          <w:lang w:val="de-DE" w:eastAsia="ja-JP"/>
        </w:rPr>
        <mc:AlternateContent>
          <mc:Choice Requires="wps">
            <w:drawing>
              <wp:anchor distT="0" distB="0" distL="114300" distR="114300" simplePos="0" relativeHeight="251667456" behindDoc="0" locked="0" layoutInCell="1" allowOverlap="1" wp14:anchorId="6762F49B" wp14:editId="75477002">
                <wp:simplePos x="0" y="0"/>
                <wp:positionH relativeFrom="column">
                  <wp:posOffset>-610235</wp:posOffset>
                </wp:positionH>
                <wp:positionV relativeFrom="paragraph">
                  <wp:posOffset>4282440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58EEB044" w:rsidR="008D0391" w:rsidRPr="006F31C1" w:rsidRDefault="008D0391" w:rsidP="005B6E23">
                            <w:pPr>
                              <w:pStyle w:val="BoldSubHead"/>
                              <w:spacing w:before="0"/>
                            </w:pPr>
                            <w:r w:rsidRPr="00E7786C">
                              <w:t>Profilo di rischio e rendimento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0" type="#_x0000_t202" style="position:absolute;margin-left:-48.05pt;margin-top:337.2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Dt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" stroked="f">
                <v:textbox>
                  <w:txbxContent>
                    <w:p w14:paraId="6B74D446" w14:textId="58EEB044" w:rsidR="008D0391" w:rsidRPr="006F31C1" w:rsidRDefault="008D0391" w:rsidP="005B6E23">
                      <w:pPr>
                        <w:pStyle w:val="BoldSubHead"/>
                        <w:spacing w:before="0"/>
                      </w:pPr>
                      <w:r w:rsidRPr="00E7786C">
                        <w:t>Profilo di rischio e rendimento</w:t>
                      </w:r>
                    </w:p>
                  </w:txbxContent>
                </v:textbox>
              </v:shape>
            </w:pict>
          </mc:Fallback>
        </mc:AlternateContent>
      </w:r>
      <w:r>
        <w:rPr>
          <w:noProof/>
          <w:color w:val="000000"/>
          <w:lang w:val="de-DE" w:eastAsia="ja-JP"/>
        </w:rPr>
        <mc:AlternateContent>
          <mc:Choice Requires="wps">
            <w:drawing>
              <wp:anchor distT="0" distB="0" distL="114300" distR="114300" simplePos="0" relativeHeight="251666432" behindDoc="0" locked="0" layoutInCell="1" allowOverlap="1" wp14:anchorId="1C3FD5D8" wp14:editId="7A6B2AEA">
                <wp:simplePos x="0" y="0"/>
                <wp:positionH relativeFrom="margin">
                  <wp:posOffset>-568960</wp:posOffset>
                </wp:positionH>
                <wp:positionV relativeFrom="paragraph">
                  <wp:posOffset>4232275</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DB5DD" id="_x0000_t32" coordsize="21600,21600" o:spt="32" o:oned="t" path="m,l21600,21600e" filled="f">
                <v:path arrowok="t" fillok="f" o:connecttype="none"/>
                <o:lock v:ext="edit" shapetype="t"/>
              </v:shapetype>
              <v:shape id="AutoShape 101" o:spid="_x0000_s1026" type="#_x0000_t32" style="position:absolute;margin-left:-44.8pt;margin-top:333.2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" strokecolor="#006747">
                <w10:wrap anchorx="margin"/>
              </v:shape>
            </w:pict>
          </mc:Fallback>
        </mc:AlternateContent>
      </w:r>
      <w:r>
        <w:rPr>
          <w:noProof/>
          <w:lang w:val="de-DE" w:eastAsia="ja-JP"/>
        </w:rPr>
        <mc:AlternateContent>
          <mc:Choice Requires="wps">
            <w:drawing>
              <wp:anchor distT="0" distB="0" distL="114300" distR="114300" simplePos="0" relativeHeight="251664384" behindDoc="0" locked="0" layoutInCell="1" allowOverlap="1" wp14:anchorId="2B2EE4E4" wp14:editId="648FD774">
                <wp:simplePos x="0" y="0"/>
                <wp:positionH relativeFrom="column">
                  <wp:posOffset>-666750</wp:posOffset>
                </wp:positionH>
                <wp:positionV relativeFrom="paragraph">
                  <wp:posOffset>1457325</wp:posOffset>
                </wp:positionV>
                <wp:extent cx="3437255" cy="26574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5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1" type="#_x0000_t202" style="position:absolute;margin-left:-52.5pt;margin-top:114.75pt;width:270.65pt;height:20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6FhwIAABg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" stroked="f">
                <v:textbo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v:textbox>
              </v:shape>
            </w:pict>
          </mc:Fallback>
        </mc:AlternateContent>
      </w:r>
      <w:r>
        <w:rPr>
          <w:noProof/>
          <w:lang w:val="de-DE" w:eastAsia="ja-JP"/>
        </w:rPr>
        <mc:AlternateContent>
          <mc:Choice Requires="wps">
            <w:drawing>
              <wp:anchor distT="0" distB="0" distL="114300" distR="114300" simplePos="0" relativeHeight="251665408" behindDoc="0" locked="0" layoutInCell="1" allowOverlap="1" wp14:anchorId="09804B6A" wp14:editId="4DE800BD">
                <wp:simplePos x="0" y="0"/>
                <wp:positionH relativeFrom="column">
                  <wp:posOffset>2676525</wp:posOffset>
                </wp:positionH>
                <wp:positionV relativeFrom="paragraph">
                  <wp:posOffset>1247775</wp:posOffset>
                </wp:positionV>
                <wp:extent cx="3650615" cy="2771775"/>
                <wp:effectExtent l="0" t="0" r="698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w:t>
                            </w:r>
                            <w:r w:rsidRPr="00447C2B">
                              <w:rPr>
                                <w:rFonts w:cs="Arial"/>
                                <w:sz w:val="17"/>
                                <w:lang w:val="it-IT"/>
                              </w:rPr>
                              <w:t xml:space="preserve">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2" type="#_x0000_t202" style="position:absolute;margin-left:210.75pt;margin-top:98.25pt;width:287.45pt;height:2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" stroked="f">
                <v:textbo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v:textbox>
              </v:shape>
            </w:pict>
          </mc:Fallback>
        </mc:AlternateContent>
      </w:r>
      <w:r>
        <w:rPr>
          <w:noProof/>
          <w:lang w:val="de-DE" w:eastAsia="ja-JP"/>
        </w:rPr>
        <mc:AlternateContent>
          <mc:Choice Requires="wps">
            <w:drawing>
              <wp:anchor distT="0" distB="0" distL="114300" distR="114300" simplePos="0" relativeHeight="251663360" behindDoc="0" locked="0" layoutInCell="1" allowOverlap="1" wp14:anchorId="16C457A2" wp14:editId="53BFB818">
                <wp:simplePos x="0" y="0"/>
                <wp:positionH relativeFrom="column">
                  <wp:posOffset>-681990</wp:posOffset>
                </wp:positionH>
                <wp:positionV relativeFrom="paragraph">
                  <wp:posOffset>1226820</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3" type="#_x0000_t202" style="position:absolute;margin-left:-53.7pt;margin-top:96.6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2S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" stroked="f">
                <v:textbo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v:textbox>
              </v:shape>
            </w:pict>
          </mc:Fallback>
        </mc:AlternateContent>
      </w:r>
      <w:r w:rsidR="00CA5064">
        <w:rPr>
          <w:noProof/>
          <w:lang w:val="de-DE" w:eastAsia="ja-JP"/>
        </w:rPr>
        <mc:AlternateContent>
          <mc:Choice Requires="wps">
            <w:drawing>
              <wp:anchor distT="0" distB="0" distL="114300" distR="114300" simplePos="0" relativeHeight="251668480" behindDoc="0" locked="0" layoutInCell="1" allowOverlap="1" wp14:anchorId="775DDF5F" wp14:editId="6D6F629F">
                <wp:simplePos x="0" y="0"/>
                <wp:positionH relativeFrom="column">
                  <wp:posOffset>2762250</wp:posOffset>
                </wp:positionH>
                <wp:positionV relativeFrom="paragraph">
                  <wp:posOffset>4352925</wp:posOffset>
                </wp:positionV>
                <wp:extent cx="3570605" cy="4724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2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4" type="#_x0000_t202" style="position:absolute;margin-left:217.5pt;margin-top:342.75pt;width:281.1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Nc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" stroked="f">
                <v:textbo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v:textbox>
              </v:shape>
            </w:pict>
          </mc:Fallback>
        </mc:AlternateContent>
      </w:r>
      <w:r w:rsidR="005B6E23">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2A9CC8EE" w:rsidR="005B6E23" w:rsidRDefault="005F472A">
      <w:pPr>
        <w:widowControl/>
        <w:spacing w:after="160" w:line="259" w:lineRule="auto"/>
        <w:jc w:val="left"/>
      </w:pPr>
      <w:r>
        <w:rPr>
          <w:noProof/>
          <w:lang w:val="de-DE" w:eastAsia="ja-JP"/>
        </w:rPr>
        <w:lastRenderedPageBreak/>
        <mc:AlternateContent>
          <mc:Choice Requires="wps">
            <w:drawing>
              <wp:anchor distT="0" distB="0" distL="114300" distR="114300" simplePos="0" relativeHeight="251658239" behindDoc="0" locked="0" layoutInCell="1" allowOverlap="1" wp14:anchorId="314135DF" wp14:editId="69AEF80D">
                <wp:simplePos x="0" y="0"/>
                <wp:positionH relativeFrom="column">
                  <wp:posOffset>-487680</wp:posOffset>
                </wp:positionH>
                <wp:positionV relativeFrom="paragraph">
                  <wp:posOffset>-143510</wp:posOffset>
                </wp:positionV>
                <wp:extent cx="3394710" cy="23749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8.4pt;margin-top:-11.3pt;width:267.3pt;height:1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kVhwIAABg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" stroked="f">
                <v:textbo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v:textbox>
              </v:shape>
            </w:pict>
          </mc:Fallback>
        </mc:AlternateContent>
      </w:r>
      <w:r w:rsidR="00571D88">
        <w:rPr>
          <w:noProof/>
          <w:lang w:val="de-DE" w:eastAsia="ja-JP"/>
        </w:rPr>
        <mc:AlternateContent>
          <mc:Choice Requires="wps">
            <w:drawing>
              <wp:anchor distT="0" distB="0" distL="114300" distR="114300" simplePos="0" relativeHeight="251676672" behindDoc="0" locked="0" layoutInCell="1" allowOverlap="1" wp14:anchorId="5F4798A8" wp14:editId="5BD52C13">
                <wp:simplePos x="0" y="0"/>
                <wp:positionH relativeFrom="column">
                  <wp:posOffset>2981325</wp:posOffset>
                </wp:positionH>
                <wp:positionV relativeFrom="paragraph">
                  <wp:posOffset>-514350</wp:posOffset>
                </wp:positionV>
                <wp:extent cx="3383915" cy="28098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8098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 xml:space="preserve">Spese </w:t>
                                  </w:r>
                                  <w:r w:rsidRPr="0036454A">
                                    <w:rPr>
                                      <w:rFonts w:cs="Arial"/>
                                      <w:b/>
                                      <w:color w:val="FFFFFF"/>
                                      <w:sz w:val="16"/>
                                      <w:szCs w:val="16"/>
                                      <w:lang w:val="it-IT"/>
                                    </w:rPr>
                                    <w:t>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42080E3A" w:rsidR="008D0391" w:rsidRPr="0036454A" w:rsidRDefault="008D0391" w:rsidP="00260AA8">
                                  <w:pPr>
                                    <w:pStyle w:val="KIIDtext1"/>
                                    <w:autoSpaceDE w:val="0"/>
                                    <w:autoSpaceDN w:val="0"/>
                                    <w:adjustRightInd w:val="0"/>
                                    <w:spacing w:line="200" w:lineRule="exact"/>
                                    <w:rPr>
                                      <w:rFonts w:cs="Arial"/>
                                      <w:b/>
                                      <w:sz w:val="16"/>
                                      <w:szCs w:val="16"/>
                                      <w:lang w:val="it-IT"/>
                                    </w:rPr>
                                  </w:pPr>
                                  <w:r w:rsidRPr="0036454A">
                                    <w:rPr>
                                      <w:rFonts w:cs="Arial"/>
                                      <w:sz w:val="16"/>
                                      <w:szCs w:val="16"/>
                                      <w:lang w:val="it-IT"/>
                                    </w:rPr>
                                    <w:t>1.43%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6FD343EA" w:rsidR="008D0391" w:rsidRPr="00FE75FB" w:rsidRDefault="008D0391" w:rsidP="0013634F">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H</w:t>
                                  </w:r>
                                  <w:r w:rsidR="0013634F">
                                    <w:rPr>
                                      <w:rFonts w:cs="Arial"/>
                                      <w:sz w:val="12"/>
                                      <w:szCs w:val="16"/>
                                      <w:lang w:val="it-IT"/>
                                    </w:rPr>
                                    <w:t>urdle: SONIA GBP per le azioni E</w:t>
                                  </w:r>
                                  <w:r w:rsidRPr="00571D88">
                                    <w:rPr>
                                      <w:rFonts w:cs="Arial"/>
                                      <w:sz w:val="12"/>
                                      <w:szCs w:val="16"/>
                                      <w:lang w:val="it-IT"/>
                                    </w:rPr>
                                    <w:t>1 GBP</w:t>
                                  </w:r>
                                  <w:r w:rsidR="0013634F">
                                    <w:rPr>
                                      <w:rFonts w:cs="Arial"/>
                                      <w:sz w:val="12"/>
                                      <w:szCs w:val="16"/>
                                      <w:lang w:val="it-IT"/>
                                    </w:rPr>
                                    <w:t xml:space="preserve"> </w:t>
                                  </w:r>
                                  <w:r w:rsidR="0013634F">
                                    <w:rPr>
                                      <w:rFonts w:ascii="ArialMT" w:eastAsiaTheme="minorHAnsi" w:hAnsi="ArialMT" w:cs="ArialMT"/>
                                      <w:sz w:val="14"/>
                                      <w:szCs w:val="14"/>
                                      <w:lang w:val="it-IT"/>
                                    </w:rPr>
                                    <w:t>(</w:t>
                                  </w:r>
                                  <w:r w:rsidR="0013634F" w:rsidRPr="00325E49">
                                    <w:rPr>
                                      <w:rFonts w:ascii="ArialMT" w:eastAsiaTheme="minorHAnsi" w:hAnsi="ArialMT" w:cs="ArialMT"/>
                                      <w:sz w:val="14"/>
                                      <w:szCs w:val="14"/>
                                      <w:lang w:val="it-IT"/>
                                    </w:rPr>
                                    <w:t>a distribuzione</w:t>
                                  </w:r>
                                  <w:r w:rsidR="0013634F">
                                    <w:rPr>
                                      <w:rFonts w:ascii="ArialMT" w:eastAsiaTheme="minorHAnsi" w:hAnsi="ArialMT" w:cs="ArialMT"/>
                                      <w:sz w:val="14"/>
                                      <w:szCs w:val="14"/>
                                      <w:lang w:val="it-IT"/>
                                    </w:rPr>
                                    <w:t>)</w:t>
                                  </w:r>
                                  <w:r w:rsidR="0013634F" w:rsidRPr="00325E49">
                                    <w:rPr>
                                      <w:rFonts w:ascii="ArialMT" w:eastAsiaTheme="minorHAnsi" w:hAnsi="ArialMT" w:cs="ArialMT"/>
                                      <w:sz w:val="14"/>
                                      <w:szCs w:val="14"/>
                                      <w:lang w:val="it-IT"/>
                                    </w:rPr>
                                    <w:t xml:space="preserve"> </w:t>
                                  </w:r>
                                  <w:r w:rsidR="0013634F">
                                    <w:rPr>
                                      <w:rFonts w:cs="Arial"/>
                                      <w:sz w:val="12"/>
                                      <w:szCs w:val="16"/>
                                      <w:lang w:val="it-IT"/>
                                    </w:rPr>
                                    <w:t xml:space="preserve">e </w:t>
                                  </w:r>
                                  <w:r w:rsidRPr="00571D88">
                                    <w:rPr>
                                      <w:rFonts w:cs="Arial"/>
                                      <w:sz w:val="12"/>
                                      <w:szCs w:val="16"/>
                                      <w:lang w:val="it-IT"/>
                                    </w:rPr>
                                    <w:t>Euro Short</w:t>
                                  </w:r>
                                  <w:r w:rsidR="0013634F">
                                    <w:rPr>
                                      <w:rFonts w:cs="Arial"/>
                                      <w:sz w:val="12"/>
                                      <w:szCs w:val="16"/>
                                      <w:lang w:val="it-IT"/>
                                    </w:rPr>
                                    <w:t xml:space="preserve"> Term Rate per le azioni E1 EUR </w:t>
                                  </w:r>
                                  <w:r w:rsidR="0013634F">
                                    <w:rPr>
                                      <w:rFonts w:ascii="ArialMT" w:eastAsiaTheme="minorHAnsi" w:hAnsi="ArialMT" w:cs="ArialMT"/>
                                      <w:sz w:val="14"/>
                                      <w:szCs w:val="14"/>
                                      <w:lang w:val="it-IT"/>
                                    </w:rPr>
                                    <w:t>(</w:t>
                                  </w:r>
                                  <w:r w:rsidR="0013634F" w:rsidRPr="00325E49">
                                    <w:rPr>
                                      <w:rFonts w:ascii="ArialMT" w:eastAsiaTheme="minorHAnsi" w:hAnsi="ArialMT" w:cs="ArialMT"/>
                                      <w:sz w:val="14"/>
                                      <w:szCs w:val="14"/>
                                      <w:lang w:val="it-IT"/>
                                    </w:rPr>
                                    <w:t>a distribuzione</w:t>
                                  </w:r>
                                  <w:r w:rsidR="0013634F">
                                    <w:rPr>
                                      <w:rFonts w:ascii="ArialMT" w:eastAsiaTheme="minorHAnsi" w:hAnsi="ArialMT" w:cs="ArialMT"/>
                                      <w:sz w:val="14"/>
                                      <w:szCs w:val="14"/>
                                      <w:lang w:val="it-IT"/>
                                    </w:rPr>
                                    <w:t>)</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7" style="position:absolute;margin-left:234.75pt;margin-top:-40.5pt;width:266.45pt;height:2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" filled="f" strokecolor="#006747">
                <v:textbo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 xml:space="preserve">Spese </w:t>
                            </w:r>
                            <w:r w:rsidRPr="0036454A">
                              <w:rPr>
                                <w:rFonts w:cs="Arial"/>
                                <w:b/>
                                <w:color w:val="FFFFFF"/>
                                <w:sz w:val="16"/>
                                <w:szCs w:val="16"/>
                                <w:lang w:val="it-IT"/>
                              </w:rPr>
                              <w:t>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42080E3A" w:rsidR="008D0391" w:rsidRPr="0036454A" w:rsidRDefault="008D0391" w:rsidP="00260AA8">
                            <w:pPr>
                              <w:pStyle w:val="KIIDtext1"/>
                              <w:autoSpaceDE w:val="0"/>
                              <w:autoSpaceDN w:val="0"/>
                              <w:adjustRightInd w:val="0"/>
                              <w:spacing w:line="200" w:lineRule="exact"/>
                              <w:rPr>
                                <w:rFonts w:cs="Arial"/>
                                <w:b/>
                                <w:sz w:val="16"/>
                                <w:szCs w:val="16"/>
                                <w:lang w:val="it-IT"/>
                              </w:rPr>
                            </w:pPr>
                            <w:r w:rsidRPr="0036454A">
                              <w:rPr>
                                <w:rFonts w:cs="Arial"/>
                                <w:sz w:val="16"/>
                                <w:szCs w:val="16"/>
                                <w:lang w:val="it-IT"/>
                              </w:rPr>
                              <w:t>1.43%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6FD343EA" w:rsidR="008D0391" w:rsidRPr="00FE75FB" w:rsidRDefault="008D0391" w:rsidP="0013634F">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H</w:t>
                            </w:r>
                            <w:r w:rsidR="0013634F">
                              <w:rPr>
                                <w:rFonts w:cs="Arial"/>
                                <w:sz w:val="12"/>
                                <w:szCs w:val="16"/>
                                <w:lang w:val="it-IT"/>
                              </w:rPr>
                              <w:t>urdle: SONIA GBP per le azioni E</w:t>
                            </w:r>
                            <w:r w:rsidRPr="00571D88">
                              <w:rPr>
                                <w:rFonts w:cs="Arial"/>
                                <w:sz w:val="12"/>
                                <w:szCs w:val="16"/>
                                <w:lang w:val="it-IT"/>
                              </w:rPr>
                              <w:t>1 GBP</w:t>
                            </w:r>
                            <w:r w:rsidR="0013634F">
                              <w:rPr>
                                <w:rFonts w:cs="Arial"/>
                                <w:sz w:val="12"/>
                                <w:szCs w:val="16"/>
                                <w:lang w:val="it-IT"/>
                              </w:rPr>
                              <w:t xml:space="preserve"> </w:t>
                            </w:r>
                            <w:r w:rsidR="0013634F">
                              <w:rPr>
                                <w:rFonts w:ascii="ArialMT" w:eastAsiaTheme="minorHAnsi" w:hAnsi="ArialMT" w:cs="ArialMT"/>
                                <w:sz w:val="14"/>
                                <w:szCs w:val="14"/>
                                <w:lang w:val="it-IT"/>
                              </w:rPr>
                              <w:t>(</w:t>
                            </w:r>
                            <w:r w:rsidR="0013634F" w:rsidRPr="00325E49">
                              <w:rPr>
                                <w:rFonts w:ascii="ArialMT" w:eastAsiaTheme="minorHAnsi" w:hAnsi="ArialMT" w:cs="ArialMT"/>
                                <w:sz w:val="14"/>
                                <w:szCs w:val="14"/>
                                <w:lang w:val="it-IT"/>
                              </w:rPr>
                              <w:t>a distribuzione</w:t>
                            </w:r>
                            <w:r w:rsidR="0013634F">
                              <w:rPr>
                                <w:rFonts w:ascii="ArialMT" w:eastAsiaTheme="minorHAnsi" w:hAnsi="ArialMT" w:cs="ArialMT"/>
                                <w:sz w:val="14"/>
                                <w:szCs w:val="14"/>
                                <w:lang w:val="it-IT"/>
                              </w:rPr>
                              <w:t>)</w:t>
                            </w:r>
                            <w:r w:rsidR="0013634F" w:rsidRPr="00325E49">
                              <w:rPr>
                                <w:rFonts w:ascii="ArialMT" w:eastAsiaTheme="minorHAnsi" w:hAnsi="ArialMT" w:cs="ArialMT"/>
                                <w:sz w:val="14"/>
                                <w:szCs w:val="14"/>
                                <w:lang w:val="it-IT"/>
                              </w:rPr>
                              <w:t xml:space="preserve"> </w:t>
                            </w:r>
                            <w:r w:rsidR="0013634F">
                              <w:rPr>
                                <w:rFonts w:cs="Arial"/>
                                <w:sz w:val="12"/>
                                <w:szCs w:val="16"/>
                                <w:lang w:val="it-IT"/>
                              </w:rPr>
                              <w:t xml:space="preserve">e </w:t>
                            </w:r>
                            <w:r w:rsidRPr="00571D88">
                              <w:rPr>
                                <w:rFonts w:cs="Arial"/>
                                <w:sz w:val="12"/>
                                <w:szCs w:val="16"/>
                                <w:lang w:val="it-IT"/>
                              </w:rPr>
                              <w:t>Euro Short</w:t>
                            </w:r>
                            <w:r w:rsidR="0013634F">
                              <w:rPr>
                                <w:rFonts w:cs="Arial"/>
                                <w:sz w:val="12"/>
                                <w:szCs w:val="16"/>
                                <w:lang w:val="it-IT"/>
                              </w:rPr>
                              <w:t xml:space="preserve"> Term Rate per le azioni E1 EUR </w:t>
                            </w:r>
                            <w:r w:rsidR="0013634F">
                              <w:rPr>
                                <w:rFonts w:ascii="ArialMT" w:eastAsiaTheme="minorHAnsi" w:hAnsi="ArialMT" w:cs="ArialMT"/>
                                <w:sz w:val="14"/>
                                <w:szCs w:val="14"/>
                                <w:lang w:val="it-IT"/>
                              </w:rPr>
                              <w:t>(</w:t>
                            </w:r>
                            <w:r w:rsidR="0013634F" w:rsidRPr="00325E49">
                              <w:rPr>
                                <w:rFonts w:ascii="ArialMT" w:eastAsiaTheme="minorHAnsi" w:hAnsi="ArialMT" w:cs="ArialMT"/>
                                <w:sz w:val="14"/>
                                <w:szCs w:val="14"/>
                                <w:lang w:val="it-IT"/>
                              </w:rPr>
                              <w:t>a distribuzione</w:t>
                            </w:r>
                            <w:r w:rsidR="0013634F">
                              <w:rPr>
                                <w:rFonts w:ascii="ArialMT" w:eastAsiaTheme="minorHAnsi" w:hAnsi="ArialMT" w:cs="ArialMT"/>
                                <w:sz w:val="14"/>
                                <w:szCs w:val="14"/>
                                <w:lang w:val="it-IT"/>
                              </w:rPr>
                              <w:t>)</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v:textbox>
              </v:rect>
            </w:pict>
          </mc:Fallback>
        </mc:AlternateContent>
      </w:r>
      <w:r w:rsidR="00271096">
        <w:rPr>
          <w:noProof/>
          <w:lang w:val="de-DE" w:eastAsia="ja-JP"/>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" stroked="f">
                <v:textbo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E72E20F" w:rsidR="00CB0F6B" w:rsidRDefault="00571D88">
      <w:pPr>
        <w:widowControl/>
        <w:spacing w:after="160" w:line="259" w:lineRule="auto"/>
        <w:jc w:val="left"/>
      </w:pPr>
      <w:r>
        <w:rPr>
          <w:noProof/>
          <w:lang w:val="de-DE" w:eastAsia="ja-JP"/>
        </w:rPr>
        <mc:AlternateContent>
          <mc:Choice Requires="wps">
            <w:drawing>
              <wp:anchor distT="0" distB="0" distL="114300" distR="114300" simplePos="0" relativeHeight="251682816" behindDoc="0" locked="0" layoutInCell="1" allowOverlap="1" wp14:anchorId="0E57E85D" wp14:editId="4F23F71D">
                <wp:simplePos x="0" y="0"/>
                <wp:positionH relativeFrom="column">
                  <wp:posOffset>-514350</wp:posOffset>
                </wp:positionH>
                <wp:positionV relativeFrom="paragraph">
                  <wp:posOffset>339725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6.7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" stroked="f">
                <v:textbo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035CECAD">
                <wp:simplePos x="0" y="0"/>
                <wp:positionH relativeFrom="margin">
                  <wp:posOffset>-477520</wp:posOffset>
                </wp:positionH>
                <wp:positionV relativeFrom="paragraph">
                  <wp:posOffset>325755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C3979" id="AutoShape 129" o:spid="_x0000_s1026" type="#_x0000_t32" style="position:absolute;margin-left:-37.6pt;margin-top:25.6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" strokecolor="#006747">
                <w10:wrap anchorx="margin"/>
              </v:shape>
            </w:pict>
          </mc:Fallback>
        </mc:AlternateContent>
      </w:r>
    </w:p>
    <w:p w14:paraId="69D20D1C" w14:textId="166BBE5E" w:rsidR="00F631E3" w:rsidRDefault="00F631E3">
      <w:pPr>
        <w:widowControl/>
        <w:spacing w:after="160" w:line="259" w:lineRule="auto"/>
        <w:jc w:val="left"/>
      </w:pPr>
    </w:p>
    <w:p w14:paraId="4FE81C06" w14:textId="0D74B379" w:rsidR="009813A8" w:rsidRDefault="00B5769D">
      <w:pPr>
        <w:widowControl/>
        <w:spacing w:after="160" w:line="259" w:lineRule="auto"/>
        <w:jc w:val="left"/>
        <w:rPr>
          <w:noProof/>
        </w:rPr>
      </w:pPr>
      <w:r>
        <w:rPr>
          <w:noProof/>
          <w:lang w:val="de-DE" w:eastAsia="ja-JP"/>
        </w:rPr>
        <w:drawing>
          <wp:anchor distT="0" distB="0" distL="114300" distR="114300" simplePos="0" relativeHeight="251654139" behindDoc="0" locked="0" layoutInCell="1" allowOverlap="1" wp14:anchorId="67BA4A83" wp14:editId="71E9DBD6">
            <wp:simplePos x="0" y="0"/>
            <wp:positionH relativeFrom="column">
              <wp:posOffset>0</wp:posOffset>
            </wp:positionH>
            <wp:positionV relativeFrom="paragraph">
              <wp:posOffset>-1270</wp:posOffset>
            </wp:positionV>
            <wp:extent cx="5104762" cy="1676190"/>
            <wp:effectExtent l="0" t="0" r="127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04762" cy="1676190"/>
                    </a:xfrm>
                    <a:prstGeom prst="rect">
                      <a:avLst/>
                    </a:prstGeom>
                  </pic:spPr>
                </pic:pic>
              </a:graphicData>
            </a:graphic>
            <wp14:sizeRelH relativeFrom="page">
              <wp14:pctWidth>0</wp14:pctWidth>
            </wp14:sizeRelH>
            <wp14:sizeRelV relativeFrom="page">
              <wp14:pctHeight>0</wp14:pctHeight>
            </wp14:sizeRelV>
          </wp:anchor>
        </w:drawing>
      </w:r>
    </w:p>
    <w:p w14:paraId="7D153BAF" w14:textId="41B826D7" w:rsidR="00D91E47" w:rsidRDefault="007B4BEC" w:rsidP="009813A8">
      <w:pPr>
        <w:widowControl/>
        <w:spacing w:after="160" w:line="259" w:lineRule="auto"/>
      </w:pPr>
      <w:r w:rsidRPr="007B4BEC">
        <w:rPr>
          <w:noProof/>
        </w:rPr>
        <w:t xml:space="preserve">  </w:t>
      </w:r>
    </w:p>
    <w:p w14:paraId="2FDBC5E8" w14:textId="261CFEEF" w:rsidR="00D91E47" w:rsidRDefault="00D91E47">
      <w:pPr>
        <w:widowControl/>
        <w:spacing w:after="160" w:line="259" w:lineRule="auto"/>
        <w:jc w:val="left"/>
      </w:pPr>
    </w:p>
    <w:p w14:paraId="59D3C0D3" w14:textId="3BCA8FB1" w:rsidR="00D91E47" w:rsidRDefault="00D91E47">
      <w:pPr>
        <w:widowControl/>
        <w:spacing w:after="160" w:line="259" w:lineRule="auto"/>
        <w:jc w:val="left"/>
      </w:pPr>
    </w:p>
    <w:p w14:paraId="03DC48A2" w14:textId="76CEB63D" w:rsidR="005B6E23" w:rsidRDefault="00B5769D" w:rsidP="00571D88">
      <w:pPr>
        <w:widowControl/>
        <w:spacing w:after="160" w:line="259" w:lineRule="auto"/>
        <w:jc w:val="left"/>
      </w:pPr>
      <w:r>
        <w:rPr>
          <w:noProof/>
          <w:lang w:val="de-DE" w:eastAsia="ja-JP"/>
        </w:rPr>
        <mc:AlternateContent>
          <mc:Choice Requires="wps">
            <w:drawing>
              <wp:anchor distT="0" distB="0" distL="114300" distR="114300" simplePos="0" relativeHeight="251657214" behindDoc="0" locked="0" layoutInCell="1" allowOverlap="1" wp14:anchorId="652E6D33" wp14:editId="75E718FF">
                <wp:simplePos x="0" y="0"/>
                <wp:positionH relativeFrom="column">
                  <wp:posOffset>-552450</wp:posOffset>
                </wp:positionH>
                <wp:positionV relativeFrom="paragraph">
                  <wp:posOffset>666750</wp:posOffset>
                </wp:positionV>
                <wp:extent cx="6962775" cy="5810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6303041E" w:rsidR="008D0391" w:rsidRPr="00EB2E6D" w:rsidRDefault="008D0391" w:rsidP="0013634F">
                            <w:pPr>
                              <w:pStyle w:val="KIIDtext1"/>
                              <w:spacing w:line="200" w:lineRule="exact"/>
                              <w:rPr>
                                <w:rFonts w:ascii="ArialMT" w:eastAsiaTheme="minorHAnsi" w:hAnsi="ArialMT" w:cs="ArialMT"/>
                                <w:sz w:val="14"/>
                                <w:szCs w:val="14"/>
                                <w:lang w:val="it-IT"/>
                              </w:rPr>
                            </w:pPr>
                            <w:bookmarkStart w:id="0" w:name="_Hlk106031432"/>
                            <w:bookmarkStart w:id="1" w:name="_Hlk106031433"/>
                            <w:bookmarkStart w:id="2" w:name="_Hlk106031434"/>
                            <w:bookmarkStart w:id="3" w:name="_Hlk106031435"/>
                            <w:r w:rsidRPr="00571D88">
                              <w:rPr>
                                <w:rFonts w:ascii="ArialMT" w:eastAsiaTheme="minorHAnsi" w:hAnsi="ArialMT" w:cs="ArialMT"/>
                                <w:sz w:val="14"/>
                                <w:szCs w:val="14"/>
                                <w:lang w:val="it-IT"/>
                              </w:rPr>
                              <w:t xml:space="preserve">I </w:t>
                            </w:r>
                            <w:r w:rsidRPr="00571D88">
                              <w:rPr>
                                <w:rFonts w:ascii="ArialMT" w:eastAsiaTheme="minorHAnsi" w:hAnsi="ArialMT" w:cs="ArialMT"/>
                                <w:sz w:val="14"/>
                                <w:szCs w:val="14"/>
                                <w:lang w:val="it-IT"/>
                              </w:rPr>
                              <w:t>risultati percentuali ottenuti nel passato mostrati nei grafici sopra includono tutti gli oneri operative e di gesti</w:t>
                            </w:r>
                            <w:r w:rsidR="0013634F">
                              <w:rPr>
                                <w:rFonts w:ascii="ArialMT" w:eastAsiaTheme="minorHAnsi" w:hAnsi="ArialMT" w:cs="ArialMT"/>
                                <w:sz w:val="14"/>
                                <w:szCs w:val="14"/>
                                <w:lang w:val="it-IT"/>
                              </w:rPr>
                              <w:t>one relative alle azioni Class E</w:t>
                            </w:r>
                            <w:r w:rsidRPr="00571D88">
                              <w:rPr>
                                <w:rFonts w:ascii="ArialMT" w:eastAsiaTheme="minorHAnsi" w:hAnsi="ArialMT" w:cs="ArialMT"/>
                                <w:sz w:val="14"/>
                                <w:szCs w:val="14"/>
                                <w:lang w:val="it-IT"/>
                              </w:rPr>
                              <w:t>1</w:t>
                            </w:r>
                            <w:r w:rsidR="0013634F">
                              <w:rPr>
                                <w:rFonts w:ascii="ArialMT" w:eastAsiaTheme="minorHAnsi" w:hAnsi="ArialMT" w:cs="ArialMT"/>
                                <w:sz w:val="14"/>
                                <w:szCs w:val="14"/>
                                <w:lang w:val="it-IT"/>
                              </w:rPr>
                              <w:t xml:space="preserve"> (</w:t>
                            </w:r>
                            <w:r w:rsidR="0013634F" w:rsidRPr="00325E49">
                              <w:rPr>
                                <w:rFonts w:ascii="ArialMT" w:eastAsiaTheme="minorHAnsi" w:hAnsi="ArialMT" w:cs="ArialMT"/>
                                <w:sz w:val="14"/>
                                <w:szCs w:val="14"/>
                                <w:lang w:val="it-IT"/>
                              </w:rPr>
                              <w:t>a distribuzione</w:t>
                            </w:r>
                            <w:r w:rsidR="0013634F">
                              <w:rPr>
                                <w:rFonts w:ascii="ArialMT" w:eastAsiaTheme="minorHAnsi" w:hAnsi="ArialMT" w:cs="ArialMT"/>
                                <w:sz w:val="14"/>
                                <w:szCs w:val="14"/>
                                <w:lang w:val="it-IT"/>
                              </w:rPr>
                              <w:t>)</w:t>
                            </w:r>
                            <w:r w:rsidR="0013634F" w:rsidRPr="00325E49">
                              <w:rPr>
                                <w:rFonts w:ascii="ArialMT" w:eastAsiaTheme="minorHAnsi" w:hAnsi="ArialMT" w:cs="ArialMT"/>
                                <w:sz w:val="14"/>
                                <w:szCs w:val="14"/>
                                <w:lang w:val="it-IT"/>
                              </w:rPr>
                              <w:t xml:space="preserve"> </w:t>
                            </w:r>
                            <w:r w:rsidRPr="00571D88">
                              <w:rPr>
                                <w:rFonts w:ascii="ArialMT" w:eastAsiaTheme="minorHAnsi" w:hAnsi="ArialMT" w:cs="ArialMT"/>
                                <w:sz w:val="14"/>
                                <w:szCs w:val="14"/>
                                <w:lang w:val="it-IT"/>
                              </w:rPr>
                              <w:t>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0"/>
                            <w:bookmarkEnd w:id="1"/>
                            <w:bookmarkEnd w:id="2"/>
                            <w:bookmarkEnd w:id="3"/>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43.5pt;margin-top:52.5pt;width:548.25pt;height:45.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dFfAIAAAg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" stroked="f">
                <v:textbox inset="0,0,0,0">
                  <w:txbxContent>
                    <w:p w14:paraId="18760CF8" w14:textId="6303041E" w:rsidR="008D0391" w:rsidRPr="00EB2E6D" w:rsidRDefault="008D0391" w:rsidP="0013634F">
                      <w:pPr>
                        <w:pStyle w:val="KIIDtext1"/>
                        <w:spacing w:line="200" w:lineRule="exact"/>
                        <w:rPr>
                          <w:rFonts w:ascii="ArialMT" w:eastAsiaTheme="minorHAnsi" w:hAnsi="ArialMT" w:cs="ArialMT"/>
                          <w:sz w:val="14"/>
                          <w:szCs w:val="14"/>
                          <w:lang w:val="it-IT"/>
                        </w:rPr>
                      </w:pPr>
                      <w:bookmarkStart w:id="6" w:name="_Hlk106031432"/>
                      <w:bookmarkStart w:id="7" w:name="_Hlk106031433"/>
                      <w:bookmarkStart w:id="8" w:name="_Hlk106031434"/>
                      <w:bookmarkStart w:id="9"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w:t>
                      </w:r>
                      <w:r w:rsidR="0013634F">
                        <w:rPr>
                          <w:rFonts w:ascii="ArialMT" w:eastAsiaTheme="minorHAnsi" w:hAnsi="ArialMT" w:cs="ArialMT"/>
                          <w:sz w:val="14"/>
                          <w:szCs w:val="14"/>
                          <w:lang w:val="it-IT"/>
                        </w:rPr>
                        <w:t>one relative alle azioni Class E</w:t>
                      </w:r>
                      <w:r w:rsidRPr="00571D88">
                        <w:rPr>
                          <w:rFonts w:ascii="ArialMT" w:eastAsiaTheme="minorHAnsi" w:hAnsi="ArialMT" w:cs="ArialMT"/>
                          <w:sz w:val="14"/>
                          <w:szCs w:val="14"/>
                          <w:lang w:val="it-IT"/>
                        </w:rPr>
                        <w:t>1</w:t>
                      </w:r>
                      <w:r w:rsidR="0013634F">
                        <w:rPr>
                          <w:rFonts w:ascii="ArialMT" w:eastAsiaTheme="minorHAnsi" w:hAnsi="ArialMT" w:cs="ArialMT"/>
                          <w:sz w:val="14"/>
                          <w:szCs w:val="14"/>
                          <w:lang w:val="it-IT"/>
                        </w:rPr>
                        <w:t xml:space="preserve"> </w:t>
                      </w:r>
                      <w:r w:rsidR="0013634F">
                        <w:rPr>
                          <w:rFonts w:ascii="ArialMT" w:eastAsiaTheme="minorHAnsi" w:hAnsi="ArialMT" w:cs="ArialMT"/>
                          <w:sz w:val="14"/>
                          <w:szCs w:val="14"/>
                          <w:lang w:val="it-IT"/>
                        </w:rPr>
                        <w:t>(</w:t>
                      </w:r>
                      <w:r w:rsidR="0013634F" w:rsidRPr="00325E49">
                        <w:rPr>
                          <w:rFonts w:ascii="ArialMT" w:eastAsiaTheme="minorHAnsi" w:hAnsi="ArialMT" w:cs="ArialMT"/>
                          <w:sz w:val="14"/>
                          <w:szCs w:val="14"/>
                          <w:lang w:val="it-IT"/>
                        </w:rPr>
                        <w:t>a distribuzione</w:t>
                      </w:r>
                      <w:r w:rsidR="0013634F">
                        <w:rPr>
                          <w:rFonts w:ascii="ArialMT" w:eastAsiaTheme="minorHAnsi" w:hAnsi="ArialMT" w:cs="ArialMT"/>
                          <w:sz w:val="14"/>
                          <w:szCs w:val="14"/>
                          <w:lang w:val="it-IT"/>
                        </w:rPr>
                        <w:t>)</w:t>
                      </w:r>
                      <w:r w:rsidR="0013634F" w:rsidRPr="00325E49">
                        <w:rPr>
                          <w:rFonts w:ascii="ArialMT" w:eastAsiaTheme="minorHAnsi" w:hAnsi="ArialMT" w:cs="ArialMT"/>
                          <w:sz w:val="14"/>
                          <w:szCs w:val="14"/>
                          <w:lang w:val="it-IT"/>
                        </w:rPr>
                        <w:t xml:space="preserve"> </w:t>
                      </w:r>
                      <w:r w:rsidRPr="00571D88">
                        <w:rPr>
                          <w:rFonts w:ascii="ArialMT" w:eastAsiaTheme="minorHAnsi" w:hAnsi="ArialMT" w:cs="ArialMT"/>
                          <w:sz w:val="14"/>
                          <w:szCs w:val="14"/>
                          <w:lang w:val="it-IT"/>
                        </w:rPr>
                        <w:t>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6"/>
                      <w:bookmarkEnd w:id="7"/>
                      <w:bookmarkEnd w:id="8"/>
                      <w:bookmarkEnd w:id="9"/>
                    </w:p>
                  </w:txbxContent>
                </v:textbox>
              </v:shape>
            </w:pict>
          </mc:Fallback>
        </mc:AlternateContent>
      </w: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733231E0">
                <wp:simplePos x="0" y="0"/>
                <wp:positionH relativeFrom="margin">
                  <wp:posOffset>-546100</wp:posOffset>
                </wp:positionH>
                <wp:positionV relativeFrom="paragraph">
                  <wp:posOffset>1278255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57AE1" id="AutoShape 134" o:spid="_x0000_s1026" type="#_x0000_t32" style="position:absolute;margin-left:-43pt;margin-top:100.6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" strokecolor="#006747">
                <w10:wrap anchorx="margin"/>
              </v:shape>
            </w:pict>
          </mc:Fallback>
        </mc:AlternateContent>
      </w:r>
      <w:r>
        <w:rPr>
          <w:noProof/>
          <w:lang w:val="de-DE" w:eastAsia="ja-JP"/>
        </w:rPr>
        <mc:AlternateContent>
          <mc:Choice Requires="wps">
            <w:drawing>
              <wp:anchor distT="0" distB="0" distL="114300" distR="114300" simplePos="0" relativeHeight="251688960" behindDoc="0" locked="0" layoutInCell="1" allowOverlap="1" wp14:anchorId="05C78577" wp14:editId="6F5D2605">
                <wp:simplePos x="0" y="0"/>
                <wp:positionH relativeFrom="column">
                  <wp:posOffset>-420370</wp:posOffset>
                </wp:positionH>
                <wp:positionV relativeFrom="paragraph">
                  <wp:posOffset>1293495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 xml:space="preserve">Informazioni </w:t>
                            </w:r>
                            <w:r>
                              <w:rPr>
                                <w:rFonts w:eastAsia="Calibri" w:cs="Arial"/>
                                <w:b/>
                                <w:bCs/>
                                <w:caps/>
                                <w:color w:val="006747"/>
                                <w:sz w:val="21"/>
                                <w:szCs w:val="22"/>
                                <w:lang w:val="it-IT"/>
                              </w:rPr>
                              <w:t>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3.1pt;margin-top:101.8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a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" stroked="f">
                <v:textbo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Pr>
          <w:noProof/>
          <w:lang w:val="de-DE" w:eastAsia="ja-JP"/>
        </w:rPr>
        <mc:AlternateContent>
          <mc:Choice Requires="wps">
            <w:drawing>
              <wp:anchor distT="0" distB="0" distL="114300" distR="114300" simplePos="0" relativeHeight="251691008" behindDoc="0" locked="0" layoutInCell="1" allowOverlap="1" wp14:anchorId="433AE50E" wp14:editId="16EB4225">
                <wp:simplePos x="0" y="0"/>
                <wp:positionH relativeFrom="column">
                  <wp:posOffset>3028950</wp:posOffset>
                </wp:positionH>
                <wp:positionV relativeFrom="paragraph">
                  <wp:posOffset>1447800</wp:posOffset>
                </wp:positionV>
                <wp:extent cx="3275965" cy="2524125"/>
                <wp:effectExtent l="0" t="0" r="63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2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w:t>
                            </w:r>
                            <w:r w:rsidRPr="0057606F">
                              <w:rPr>
                                <w:rFonts w:cs="Arial"/>
                                <w:bCs/>
                                <w:sz w:val="17"/>
                                <w:szCs w:val="17"/>
                                <w:lang w:val="it-IT"/>
                              </w:rPr>
                              <w:t xml:space="preserve">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4" w:name="_Hlk106030897"/>
                            <w:bookmarkStart w:id="5"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8.5pt;margin-top:114pt;width:257.95pt;height:19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Ahw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" stroked="f">
                <v:textbo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12" w:name="_Hlk106030897"/>
                      <w:bookmarkStart w:id="13"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12"/>
                      <w:bookmarkEnd w:id="13"/>
                    </w:p>
                  </w:txbxContent>
                </v:textbox>
              </v:shape>
            </w:pict>
          </mc:Fallback>
        </mc:AlternateContent>
      </w:r>
      <w:r>
        <w:rPr>
          <w:noProof/>
          <w:lang w:val="de-DE" w:eastAsia="ja-JP"/>
        </w:rPr>
        <mc:AlternateContent>
          <mc:Choice Requires="wps">
            <w:drawing>
              <wp:anchor distT="0" distB="0" distL="114300" distR="114300" simplePos="0" relativeHeight="251693056" behindDoc="0" locked="0" layoutInCell="1" allowOverlap="1" wp14:anchorId="49686F48" wp14:editId="17AFEB08">
                <wp:simplePos x="0" y="0"/>
                <wp:positionH relativeFrom="column">
                  <wp:posOffset>-466725</wp:posOffset>
                </wp:positionH>
                <wp:positionV relativeFrom="paragraph">
                  <wp:posOffset>1562100</wp:posOffset>
                </wp:positionV>
                <wp:extent cx="3359150" cy="23526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C2DBB" w14:textId="67DD42A5"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w:t>
                            </w:r>
                            <w:hyperlink r:id="rId12" w:history="1">
                              <w:r w:rsidR="00626886" w:rsidRPr="009A7E89">
                                <w:rPr>
                                  <w:rStyle w:val="Hyperlink"/>
                                  <w:rFonts w:cs="Arial"/>
                                  <w:bCs/>
                                  <w:sz w:val="17"/>
                                  <w:szCs w:val="17"/>
                                  <w:lang w:val="it-IT"/>
                                </w:rPr>
                                <w:t>https://www.cqs.com/documents/regulatory-disclosures/cqs_ucits_remuneration_policy.pdf</w:t>
                              </w:r>
                            </w:hyperlink>
                            <w:r w:rsidR="00626886">
                              <w:rPr>
                                <w:rFonts w:cs="Arial"/>
                                <w:bCs/>
                                <w:sz w:val="17"/>
                                <w:szCs w:val="17"/>
                                <w:lang w:val="it-IT"/>
                              </w:rPr>
                              <w:t xml:space="preserve"> </w:t>
                            </w:r>
                          </w:p>
                          <w:p w14:paraId="13585DF8" w14:textId="78B3B2B7"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3" w:history="1">
                              <w:r w:rsidR="00626886" w:rsidRPr="009A7E89">
                                <w:rPr>
                                  <w:rStyle w:val="Hyperlink"/>
                                  <w:rFonts w:cs="Arial"/>
                                  <w:bCs/>
                                  <w:sz w:val="17"/>
                                  <w:szCs w:val="17"/>
                                  <w:lang w:val="it-IT"/>
                                </w:rPr>
                                <w:t>www.kbassociates.ie</w:t>
                              </w:r>
                            </w:hyperlink>
                            <w:r w:rsidR="00626886">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75pt;margin-top:123pt;width:264.5pt;height:18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" stroked="f">
                <v:textbox>
                  <w:txbxContent>
                    <w:p w14:paraId="0B2C2DBB" w14:textId="67DD42A5"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w:t>
                      </w:r>
                      <w:hyperlink r:id="rId14" w:history="1">
                        <w:r w:rsidR="00626886" w:rsidRPr="009A7E89">
                          <w:rPr>
                            <w:rStyle w:val="Hyperlink"/>
                            <w:rFonts w:cs="Arial"/>
                            <w:bCs/>
                            <w:sz w:val="17"/>
                            <w:szCs w:val="17"/>
                            <w:lang w:val="it-IT"/>
                          </w:rPr>
                          <w:t>https://www.cqs.com/documents/regulatory-disclosures/cqs_ucits_remuneration_policy.pdf</w:t>
                        </w:r>
                      </w:hyperlink>
                      <w:r w:rsidR="00626886">
                        <w:rPr>
                          <w:rFonts w:cs="Arial"/>
                          <w:bCs/>
                          <w:sz w:val="17"/>
                          <w:szCs w:val="17"/>
                          <w:lang w:val="it-IT"/>
                        </w:rPr>
                        <w:t xml:space="preserve"> </w:t>
                      </w:r>
                    </w:p>
                    <w:p w14:paraId="13585DF8" w14:textId="78B3B2B7"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5" w:history="1">
                        <w:r w:rsidR="00626886" w:rsidRPr="009A7E89">
                          <w:rPr>
                            <w:rStyle w:val="Hyperlink"/>
                            <w:rFonts w:cs="Arial"/>
                            <w:bCs/>
                            <w:sz w:val="17"/>
                            <w:szCs w:val="17"/>
                            <w:lang w:val="it-IT"/>
                          </w:rPr>
                          <w:t>www.kbassociates.ie</w:t>
                        </w:r>
                      </w:hyperlink>
                      <w:r w:rsidR="00626886">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v:textbox>
              </v:shape>
            </w:pict>
          </mc:Fallback>
        </mc:AlternateContent>
      </w:r>
      <w:r>
        <w:rPr>
          <w:noProof/>
          <w:lang w:val="de-DE" w:eastAsia="ja-JP"/>
        </w:rPr>
        <mc:AlternateContent>
          <mc:Choice Requires="wps">
            <w:drawing>
              <wp:anchor distT="0" distB="0" distL="114300" distR="114300" simplePos="0" relativeHeight="251695104" behindDoc="0" locked="0" layoutInCell="1" allowOverlap="1" wp14:anchorId="4246B9A2" wp14:editId="25B5EAFF">
                <wp:simplePos x="0" y="0"/>
                <wp:positionH relativeFrom="column">
                  <wp:posOffset>-621030</wp:posOffset>
                </wp:positionH>
                <wp:positionV relativeFrom="paragraph">
                  <wp:posOffset>3927475</wp:posOffset>
                </wp:positionV>
                <wp:extent cx="6927850" cy="159067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59067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 xml:space="preserve">Informazioni </w:t>
                            </w:r>
                            <w:r w:rsidRPr="00571D88">
                              <w:rPr>
                                <w:rFonts w:cs="Arial"/>
                                <w:bCs/>
                                <w:color w:val="A6A6A6"/>
                                <w:sz w:val="14"/>
                                <w:szCs w:val="14"/>
                                <w:lang w:val="it-IT"/>
                              </w:rPr>
                              <w:t>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48.9pt;margin-top:309.25pt;width:545.5pt;height:1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" filled="f" fillcolor="#cce1da" stroked="f" strokecolor="#006747">
                <v:textbo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v:textbox>
                <w10:wrap type="square"/>
              </v:shape>
            </w:pict>
          </mc:Fallback>
        </mc:AlternateContent>
      </w:r>
      <w:r>
        <w:rPr>
          <w:noProof/>
          <w:lang w:val="de-DE" w:eastAsia="ja-JP"/>
        </w:rPr>
        <w:drawing>
          <wp:anchor distT="0" distB="0" distL="114300" distR="114300" simplePos="0" relativeHeight="251705344" behindDoc="0" locked="0" layoutInCell="1" allowOverlap="1" wp14:anchorId="4D17BF69" wp14:editId="70920615">
            <wp:simplePos x="0" y="0"/>
            <wp:positionH relativeFrom="column">
              <wp:posOffset>4229100</wp:posOffset>
            </wp:positionH>
            <wp:positionV relativeFrom="paragraph">
              <wp:posOffset>5353050</wp:posOffset>
            </wp:positionV>
            <wp:extent cx="1382395" cy="6496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649605"/>
                    </a:xfrm>
                    <a:prstGeom prst="rect">
                      <a:avLst/>
                    </a:prstGeom>
                  </pic:spPr>
                </pic:pic>
              </a:graphicData>
            </a:graphic>
            <wp14:sizeRelH relativeFrom="page">
              <wp14:pctWidth>0</wp14:pctWidth>
            </wp14:sizeRelH>
            <wp14:sizeRelV relativeFrom="page">
              <wp14:pctHeight>0</wp14:pctHeight>
            </wp14:sizeRelV>
          </wp:anchor>
        </w:drawing>
      </w:r>
    </w:p>
    <w:sectPr w:rsidR="005B6E23" w:rsidSect="00571D88">
      <w:footerReference w:type="default" r:id="rId16"/>
      <w:pgSz w:w="11906" w:h="16838"/>
      <w:pgMar w:top="1440" w:right="1440" w:bottom="426"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0314" w14:textId="77777777" w:rsidR="008D0391" w:rsidRDefault="008D0391" w:rsidP="005B6E23">
      <w:pPr>
        <w:spacing w:line="240" w:lineRule="auto"/>
      </w:pPr>
      <w:r>
        <w:separator/>
      </w:r>
    </w:p>
  </w:endnote>
  <w:endnote w:type="continuationSeparator" w:id="0">
    <w:p w14:paraId="2BC2FADC" w14:textId="77777777" w:rsidR="008D0391" w:rsidRDefault="008D0391"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8D0391" w:rsidRDefault="008D03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4371A">
      <w:rPr>
        <w:caps/>
        <w:noProof/>
        <w:color w:val="5B9BD5" w:themeColor="accent1"/>
      </w:rPr>
      <w:t>1</w:t>
    </w:r>
    <w:r>
      <w:rPr>
        <w:caps/>
        <w:noProof/>
        <w:color w:val="5B9BD5" w:themeColor="accent1"/>
      </w:rPr>
      <w:fldChar w:fldCharType="end"/>
    </w:r>
  </w:p>
  <w:p w14:paraId="549331D9" w14:textId="77777777" w:rsidR="008D0391" w:rsidRDefault="008D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4BC6" w14:textId="77777777" w:rsidR="008D0391" w:rsidRDefault="008D0391" w:rsidP="005B6E23">
      <w:pPr>
        <w:spacing w:line="240" w:lineRule="auto"/>
      </w:pPr>
      <w:r>
        <w:separator/>
      </w:r>
    </w:p>
  </w:footnote>
  <w:footnote w:type="continuationSeparator" w:id="0">
    <w:p w14:paraId="078407AD" w14:textId="77777777" w:rsidR="008D0391" w:rsidRDefault="008D0391"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643984">
    <w:abstractNumId w:val="7"/>
  </w:num>
  <w:num w:numId="2" w16cid:durableId="1994606459">
    <w:abstractNumId w:val="8"/>
  </w:num>
  <w:num w:numId="3" w16cid:durableId="1282539572">
    <w:abstractNumId w:val="2"/>
  </w:num>
  <w:num w:numId="4" w16cid:durableId="272902446">
    <w:abstractNumId w:val="8"/>
  </w:num>
  <w:num w:numId="5" w16cid:durableId="474641268">
    <w:abstractNumId w:val="0"/>
  </w:num>
  <w:num w:numId="6" w16cid:durableId="1332100261">
    <w:abstractNumId w:val="4"/>
  </w:num>
  <w:num w:numId="7" w16cid:durableId="76755859">
    <w:abstractNumId w:val="3"/>
  </w:num>
  <w:num w:numId="8" w16cid:durableId="944459297">
    <w:abstractNumId w:val="6"/>
  </w:num>
  <w:num w:numId="9" w16cid:durableId="517277698">
    <w:abstractNumId w:val="5"/>
  </w:num>
  <w:num w:numId="10" w16cid:durableId="1001541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50DA8"/>
    <w:rsid w:val="000769B6"/>
    <w:rsid w:val="000934DB"/>
    <w:rsid w:val="001068FF"/>
    <w:rsid w:val="00120DBA"/>
    <w:rsid w:val="001266C0"/>
    <w:rsid w:val="00130536"/>
    <w:rsid w:val="00132C0D"/>
    <w:rsid w:val="0013634F"/>
    <w:rsid w:val="00150151"/>
    <w:rsid w:val="001576C6"/>
    <w:rsid w:val="00162886"/>
    <w:rsid w:val="00166B27"/>
    <w:rsid w:val="0017638F"/>
    <w:rsid w:val="00182EA0"/>
    <w:rsid w:val="001B2BEF"/>
    <w:rsid w:val="001B52DF"/>
    <w:rsid w:val="001B5511"/>
    <w:rsid w:val="001C4D58"/>
    <w:rsid w:val="001D71A7"/>
    <w:rsid w:val="001E51B1"/>
    <w:rsid w:val="002006A1"/>
    <w:rsid w:val="00216272"/>
    <w:rsid w:val="00227808"/>
    <w:rsid w:val="00241528"/>
    <w:rsid w:val="00260AA8"/>
    <w:rsid w:val="00271096"/>
    <w:rsid w:val="0027424F"/>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6454A"/>
    <w:rsid w:val="0037570A"/>
    <w:rsid w:val="00385CAE"/>
    <w:rsid w:val="0039384F"/>
    <w:rsid w:val="003B5A50"/>
    <w:rsid w:val="003C7690"/>
    <w:rsid w:val="003E383B"/>
    <w:rsid w:val="003E578D"/>
    <w:rsid w:val="003F4AED"/>
    <w:rsid w:val="00405415"/>
    <w:rsid w:val="00406B3B"/>
    <w:rsid w:val="00411B7D"/>
    <w:rsid w:val="00447C2B"/>
    <w:rsid w:val="00470786"/>
    <w:rsid w:val="00471F92"/>
    <w:rsid w:val="00482326"/>
    <w:rsid w:val="004834D4"/>
    <w:rsid w:val="00491D9D"/>
    <w:rsid w:val="00492098"/>
    <w:rsid w:val="004938B0"/>
    <w:rsid w:val="004A1CA2"/>
    <w:rsid w:val="004D7DB2"/>
    <w:rsid w:val="004F53A0"/>
    <w:rsid w:val="00514603"/>
    <w:rsid w:val="005321A2"/>
    <w:rsid w:val="00544424"/>
    <w:rsid w:val="00547654"/>
    <w:rsid w:val="00551CA0"/>
    <w:rsid w:val="005542CF"/>
    <w:rsid w:val="00571D88"/>
    <w:rsid w:val="0057606F"/>
    <w:rsid w:val="005B2A95"/>
    <w:rsid w:val="005B2EB4"/>
    <w:rsid w:val="005B6E23"/>
    <w:rsid w:val="005D031A"/>
    <w:rsid w:val="005D7124"/>
    <w:rsid w:val="005D7254"/>
    <w:rsid w:val="005E5DC1"/>
    <w:rsid w:val="005E7E5A"/>
    <w:rsid w:val="005F472A"/>
    <w:rsid w:val="00601A22"/>
    <w:rsid w:val="00603E62"/>
    <w:rsid w:val="00606CC7"/>
    <w:rsid w:val="00626886"/>
    <w:rsid w:val="00640079"/>
    <w:rsid w:val="00646034"/>
    <w:rsid w:val="006474E6"/>
    <w:rsid w:val="00650319"/>
    <w:rsid w:val="00662DA6"/>
    <w:rsid w:val="0067277D"/>
    <w:rsid w:val="00707D3D"/>
    <w:rsid w:val="007213C9"/>
    <w:rsid w:val="007355C1"/>
    <w:rsid w:val="007454E4"/>
    <w:rsid w:val="007761A6"/>
    <w:rsid w:val="00777F73"/>
    <w:rsid w:val="0078100F"/>
    <w:rsid w:val="007831CF"/>
    <w:rsid w:val="0078724B"/>
    <w:rsid w:val="007B4BEC"/>
    <w:rsid w:val="007C2529"/>
    <w:rsid w:val="007C7A66"/>
    <w:rsid w:val="007E0AFC"/>
    <w:rsid w:val="007F4CBB"/>
    <w:rsid w:val="00807759"/>
    <w:rsid w:val="008218A8"/>
    <w:rsid w:val="00824906"/>
    <w:rsid w:val="0084371A"/>
    <w:rsid w:val="00860C1C"/>
    <w:rsid w:val="00872332"/>
    <w:rsid w:val="00883D68"/>
    <w:rsid w:val="008843CB"/>
    <w:rsid w:val="008A3787"/>
    <w:rsid w:val="008C2A01"/>
    <w:rsid w:val="008D0391"/>
    <w:rsid w:val="008E7B34"/>
    <w:rsid w:val="009572C4"/>
    <w:rsid w:val="00971630"/>
    <w:rsid w:val="009813A8"/>
    <w:rsid w:val="0098667B"/>
    <w:rsid w:val="00991A1D"/>
    <w:rsid w:val="009B308D"/>
    <w:rsid w:val="009D5C18"/>
    <w:rsid w:val="009E0691"/>
    <w:rsid w:val="00A0105F"/>
    <w:rsid w:val="00A06BCD"/>
    <w:rsid w:val="00A32750"/>
    <w:rsid w:val="00A35678"/>
    <w:rsid w:val="00A545B1"/>
    <w:rsid w:val="00AA1954"/>
    <w:rsid w:val="00AB2C60"/>
    <w:rsid w:val="00AB32D7"/>
    <w:rsid w:val="00AE3529"/>
    <w:rsid w:val="00AE6FDF"/>
    <w:rsid w:val="00B03A64"/>
    <w:rsid w:val="00B14CE9"/>
    <w:rsid w:val="00B41DFE"/>
    <w:rsid w:val="00B5769D"/>
    <w:rsid w:val="00B74D10"/>
    <w:rsid w:val="00B92CCF"/>
    <w:rsid w:val="00BD0715"/>
    <w:rsid w:val="00BF5FD4"/>
    <w:rsid w:val="00C2285A"/>
    <w:rsid w:val="00C320A0"/>
    <w:rsid w:val="00C335ED"/>
    <w:rsid w:val="00C34FC3"/>
    <w:rsid w:val="00C42981"/>
    <w:rsid w:val="00C75EDF"/>
    <w:rsid w:val="00C92E59"/>
    <w:rsid w:val="00CA5064"/>
    <w:rsid w:val="00CA5621"/>
    <w:rsid w:val="00CB0F6B"/>
    <w:rsid w:val="00CB6720"/>
    <w:rsid w:val="00CD3E1C"/>
    <w:rsid w:val="00CD42A5"/>
    <w:rsid w:val="00CD7EA5"/>
    <w:rsid w:val="00D3149A"/>
    <w:rsid w:val="00D7328B"/>
    <w:rsid w:val="00D91E47"/>
    <w:rsid w:val="00D970B3"/>
    <w:rsid w:val="00DA7268"/>
    <w:rsid w:val="00DB7334"/>
    <w:rsid w:val="00DC13F2"/>
    <w:rsid w:val="00DC2CE9"/>
    <w:rsid w:val="00DD263A"/>
    <w:rsid w:val="00DE5EAE"/>
    <w:rsid w:val="00DE693D"/>
    <w:rsid w:val="00DF3E5A"/>
    <w:rsid w:val="00DF6DB3"/>
    <w:rsid w:val="00E00974"/>
    <w:rsid w:val="00E0421D"/>
    <w:rsid w:val="00E46B21"/>
    <w:rsid w:val="00E52B30"/>
    <w:rsid w:val="00E658A2"/>
    <w:rsid w:val="00E7589F"/>
    <w:rsid w:val="00E7786C"/>
    <w:rsid w:val="00E86A6B"/>
    <w:rsid w:val="00E91F43"/>
    <w:rsid w:val="00EB2E6D"/>
    <w:rsid w:val="00EC7D6F"/>
    <w:rsid w:val="00ED0F4D"/>
    <w:rsid w:val="00EE3310"/>
    <w:rsid w:val="00F000DE"/>
    <w:rsid w:val="00F0299D"/>
    <w:rsid w:val="00F15A75"/>
    <w:rsid w:val="00F2441E"/>
    <w:rsid w:val="00F359E1"/>
    <w:rsid w:val="00F62751"/>
    <w:rsid w:val="00F631E3"/>
    <w:rsid w:val="00F803CA"/>
    <w:rsid w:val="00FB0C87"/>
    <w:rsid w:val="00FE2606"/>
    <w:rsid w:val="00FE7266"/>
    <w:rsid w:val="00FE7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626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40</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29</cp:revision>
  <cp:lastPrinted>2022-03-14T12:29:00Z</cp:lastPrinted>
  <dcterms:created xsi:type="dcterms:W3CDTF">2022-08-09T17:55:00Z</dcterms:created>
  <dcterms:modified xsi:type="dcterms:W3CDTF">2022-11-01T11:20:00Z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