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4C06C" w14:textId="270AA3DF" w:rsidR="005B6E23" w:rsidRDefault="00E7589F" w:rsidP="005B6E23">
      <w:r>
        <w:rPr>
          <w:noProof/>
          <w:lang w:val="en-GB" w:eastAsia="en-GB"/>
        </w:rPr>
        <w:drawing>
          <wp:anchor distT="0" distB="0" distL="114300" distR="114300" simplePos="0" relativeHeight="251703296" behindDoc="0" locked="0" layoutInCell="1" allowOverlap="1" wp14:anchorId="773F256F" wp14:editId="4C8C037E">
            <wp:simplePos x="0" y="0"/>
            <wp:positionH relativeFrom="column">
              <wp:posOffset>4615132</wp:posOffset>
            </wp:positionH>
            <wp:positionV relativeFrom="paragraph">
              <wp:posOffset>-526211</wp:posOffset>
            </wp:positionV>
            <wp:extent cx="1521726" cy="715268"/>
            <wp:effectExtent l="0" t="0" r="2540" b="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1726" cy="715268"/>
                    </a:xfrm>
                    <a:prstGeom prst="rect">
                      <a:avLst/>
                    </a:prstGeom>
                  </pic:spPr>
                </pic:pic>
              </a:graphicData>
            </a:graphic>
            <wp14:sizeRelH relativeFrom="page">
              <wp14:pctWidth>0</wp14:pctWidth>
            </wp14:sizeRelH>
            <wp14:sizeRelV relativeFrom="page">
              <wp14:pctHeight>0</wp14:pctHeight>
            </wp14:sizeRelV>
          </wp:anchor>
        </w:drawing>
      </w:r>
      <w:r w:rsidR="005B6E23">
        <w:rPr>
          <w:noProof/>
          <w:color w:val="000000"/>
          <w:lang w:val="en-GB" w:eastAsia="en-GB"/>
        </w:rPr>
        <mc:AlternateContent>
          <mc:Choice Requires="wps">
            <w:drawing>
              <wp:anchor distT="0" distB="0" distL="114300" distR="114300" simplePos="0" relativeHeight="251661312" behindDoc="0" locked="0" layoutInCell="1" allowOverlap="1" wp14:anchorId="34CD893F" wp14:editId="65ED3019">
                <wp:simplePos x="0" y="0"/>
                <wp:positionH relativeFrom="page">
                  <wp:align>left</wp:align>
                </wp:positionH>
                <wp:positionV relativeFrom="paragraph">
                  <wp:posOffset>442595</wp:posOffset>
                </wp:positionV>
                <wp:extent cx="96641285" cy="8255"/>
                <wp:effectExtent l="0" t="0" r="37465" b="29845"/>
                <wp:wrapNone/>
                <wp:docPr id="27"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641285" cy="8255"/>
                        </a:xfrm>
                        <a:prstGeom prst="straightConnector1">
                          <a:avLst/>
                        </a:prstGeom>
                        <a:noFill/>
                        <a:ln w="25400">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83219E" id="_x0000_t32" coordsize="21600,21600" o:spt="32" o:oned="t" path="m,l21600,21600e" filled="f">
                <v:path arrowok="t" fillok="f" o:connecttype="none"/>
                <o:lock v:ext="edit" shapetype="t"/>
              </v:shapetype>
              <v:shape id="AutoShape 94" o:spid="_x0000_s1026" type="#_x0000_t32" style="position:absolute;margin-left:0;margin-top:34.85pt;width:7609.55pt;height:.65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" strokecolor="#006747" strokeweight="2pt">
                <w10:wrap anchorx="page"/>
              </v:shape>
            </w:pict>
          </mc:Fallback>
        </mc:AlternateContent>
      </w:r>
      <w:r w:rsidR="005B6E23">
        <w:rPr>
          <w:noProof/>
          <w:lang w:val="en-GB" w:eastAsia="en-GB"/>
        </w:rPr>
        <mc:AlternateContent>
          <mc:Choice Requires="wps">
            <w:drawing>
              <wp:anchor distT="0" distB="0" distL="114300" distR="114300" simplePos="0" relativeHeight="251659264" behindDoc="0" locked="0" layoutInCell="1" allowOverlap="1" wp14:anchorId="28A12853" wp14:editId="461D8294">
                <wp:simplePos x="0" y="0"/>
                <wp:positionH relativeFrom="column">
                  <wp:posOffset>-561975</wp:posOffset>
                </wp:positionH>
                <wp:positionV relativeFrom="paragraph">
                  <wp:posOffset>-590550</wp:posOffset>
                </wp:positionV>
                <wp:extent cx="4685030" cy="798830"/>
                <wp:effectExtent l="635" t="0" r="635" b="444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5030" cy="798830"/>
                        </a:xfrm>
                        <a:prstGeom prst="rect">
                          <a:avLst/>
                        </a:prstGeom>
                        <a:solidFill>
                          <a:srgbClr val="CCE1DA"/>
                        </a:solidFill>
                        <a:ln>
                          <a:noFill/>
                        </a:ln>
                        <a:extLst>
                          <a:ext uri="{91240B29-F687-4F45-9708-019B960494DF}">
                            <a14:hiddenLine xmlns:a14="http://schemas.microsoft.com/office/drawing/2010/main" w="12700">
                              <a:solidFill>
                                <a:srgbClr val="006747"/>
                              </a:solidFill>
                              <a:miter lim="800000"/>
                              <a:headEnd/>
                              <a:tailEnd/>
                            </a14:hiddenLine>
                          </a:ext>
                        </a:extLst>
                      </wps:spPr>
                      <wps:txbx>
                        <w:txbxContent>
                          <w:p w14:paraId="65D8E4D3" w14:textId="77777777" w:rsidR="005B6E23" w:rsidRPr="006C0820" w:rsidRDefault="005B6E23" w:rsidP="005B6E23">
                            <w:pPr>
                              <w:spacing w:line="200" w:lineRule="exact"/>
                              <w:rPr>
                                <w:b/>
                                <w:caps/>
                                <w:color w:val="006747"/>
                                <w:sz w:val="18"/>
                                <w:szCs w:val="18"/>
                              </w:rPr>
                            </w:pPr>
                            <w:r w:rsidRPr="006C0820">
                              <w:rPr>
                                <w:b/>
                                <w:caps/>
                                <w:color w:val="006747"/>
                                <w:sz w:val="18"/>
                                <w:szCs w:val="18"/>
                              </w:rPr>
                              <w:t>Key Investor Information</w:t>
                            </w:r>
                          </w:p>
                          <w:p w14:paraId="4CCF5C9A" w14:textId="050EAB6C" w:rsidR="005B6E23" w:rsidRPr="00914AE2" w:rsidRDefault="005B6E23" w:rsidP="005B6E23">
                            <w:pPr>
                              <w:spacing w:line="200" w:lineRule="exact"/>
                              <w:rPr>
                                <w:color w:val="006747"/>
                                <w:sz w:val="18"/>
                                <w:szCs w:val="18"/>
                              </w:rPr>
                            </w:pPr>
                            <w:r w:rsidRPr="00914AE2">
                              <w:rPr>
                                <w:color w:val="006747"/>
                                <w:sz w:val="18"/>
                                <w:szCs w:val="18"/>
                              </w:rPr>
                              <w:t xml:space="preserve">This document provides you with key investor information about this </w:t>
                            </w:r>
                            <w:r w:rsidR="00AA1954">
                              <w:rPr>
                                <w:color w:val="006747"/>
                                <w:sz w:val="18"/>
                                <w:szCs w:val="18"/>
                              </w:rPr>
                              <w:t>F</w:t>
                            </w:r>
                            <w:r w:rsidRPr="00914AE2">
                              <w:rPr>
                                <w:color w:val="006747"/>
                                <w:sz w:val="18"/>
                                <w:szCs w:val="18"/>
                              </w:rPr>
                              <w:t xml:space="preserve">und. It is not marketing material. The information is required by law to help you understand the nature and the risks of investing in this </w:t>
                            </w:r>
                            <w:r w:rsidR="00AA1954">
                              <w:rPr>
                                <w:color w:val="006747"/>
                                <w:sz w:val="18"/>
                                <w:szCs w:val="18"/>
                              </w:rPr>
                              <w:t>F</w:t>
                            </w:r>
                            <w:r w:rsidRPr="00914AE2">
                              <w:rPr>
                                <w:color w:val="006747"/>
                                <w:sz w:val="18"/>
                                <w:szCs w:val="18"/>
                              </w:rPr>
                              <w:t>und. You are advised to read it so you can make an informed decision about whether to invest.</w:t>
                            </w:r>
                          </w:p>
                          <w:p w14:paraId="4A2053A4" w14:textId="77777777" w:rsidR="005B6E23" w:rsidRPr="00914AE2" w:rsidRDefault="005B6E23" w:rsidP="005B6E23">
                            <w:pPr>
                              <w:spacing w:line="200" w:lineRule="exact"/>
                              <w:rPr>
                                <w:color w:val="006747"/>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A12853" id="_x0000_t202" coordsize="21600,21600" o:spt="202" path="m,l,21600r21600,l21600,xe">
                <v:stroke joinstyle="miter"/>
                <v:path gradientshapeok="t" o:connecttype="rect"/>
              </v:shapetype>
              <v:shape id="Text Box 2" o:spid="_x0000_s1026" type="#_x0000_t202" style="position:absolute;left:0;text-align:left;margin-left:-44.25pt;margin-top:-46.5pt;width:368.9pt;height:6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" fillcolor="#cce1da" stroked="f" strokecolor="#006747" strokeweight="1pt">
                <v:textbox>
                  <w:txbxContent>
                    <w:p w14:paraId="65D8E4D3" w14:textId="77777777" w:rsidR="005B6E23" w:rsidRPr="006C0820" w:rsidRDefault="005B6E23" w:rsidP="005B6E23">
                      <w:pPr>
                        <w:spacing w:line="200" w:lineRule="exact"/>
                        <w:rPr>
                          <w:b/>
                          <w:caps/>
                          <w:color w:val="006747"/>
                          <w:sz w:val="18"/>
                          <w:szCs w:val="18"/>
                        </w:rPr>
                      </w:pPr>
                      <w:r w:rsidRPr="006C0820">
                        <w:rPr>
                          <w:b/>
                          <w:caps/>
                          <w:color w:val="006747"/>
                          <w:sz w:val="18"/>
                          <w:szCs w:val="18"/>
                        </w:rPr>
                        <w:t>Key Investor Information</w:t>
                      </w:r>
                    </w:p>
                    <w:p w14:paraId="4CCF5C9A" w14:textId="050EAB6C" w:rsidR="005B6E23" w:rsidRPr="00914AE2" w:rsidRDefault="005B6E23" w:rsidP="005B6E23">
                      <w:pPr>
                        <w:spacing w:line="200" w:lineRule="exact"/>
                        <w:rPr>
                          <w:color w:val="006747"/>
                          <w:sz w:val="18"/>
                          <w:szCs w:val="18"/>
                        </w:rPr>
                      </w:pPr>
                      <w:r w:rsidRPr="00914AE2">
                        <w:rPr>
                          <w:color w:val="006747"/>
                          <w:sz w:val="18"/>
                          <w:szCs w:val="18"/>
                        </w:rPr>
                        <w:t xml:space="preserve">This document provides you with key investor information about this </w:t>
                      </w:r>
                      <w:r w:rsidR="00AA1954">
                        <w:rPr>
                          <w:color w:val="006747"/>
                          <w:sz w:val="18"/>
                          <w:szCs w:val="18"/>
                        </w:rPr>
                        <w:t>F</w:t>
                      </w:r>
                      <w:r w:rsidRPr="00914AE2">
                        <w:rPr>
                          <w:color w:val="006747"/>
                          <w:sz w:val="18"/>
                          <w:szCs w:val="18"/>
                        </w:rPr>
                        <w:t xml:space="preserve">und. It is not marketing material. The information is required by law to help you understand the nature and the risks of investing in this </w:t>
                      </w:r>
                      <w:r w:rsidR="00AA1954">
                        <w:rPr>
                          <w:color w:val="006747"/>
                          <w:sz w:val="18"/>
                          <w:szCs w:val="18"/>
                        </w:rPr>
                        <w:t>F</w:t>
                      </w:r>
                      <w:r w:rsidRPr="00914AE2">
                        <w:rPr>
                          <w:color w:val="006747"/>
                          <w:sz w:val="18"/>
                          <w:szCs w:val="18"/>
                        </w:rPr>
                        <w:t>und. You are advised to read it so you can make an informed decision about whether to invest.</w:t>
                      </w:r>
                    </w:p>
                    <w:p w14:paraId="4A2053A4" w14:textId="77777777" w:rsidR="005B6E23" w:rsidRPr="00914AE2" w:rsidRDefault="005B6E23" w:rsidP="005B6E23">
                      <w:pPr>
                        <w:spacing w:line="200" w:lineRule="exact"/>
                        <w:rPr>
                          <w:color w:val="006747"/>
                          <w:sz w:val="18"/>
                          <w:szCs w:val="18"/>
                        </w:rPr>
                      </w:pPr>
                    </w:p>
                  </w:txbxContent>
                </v:textbox>
              </v:shape>
            </w:pict>
          </mc:Fallback>
        </mc:AlternateContent>
      </w:r>
    </w:p>
    <w:p w14:paraId="5535904C" w14:textId="1ABD567F" w:rsidR="005B6E23" w:rsidRDefault="00166B27">
      <w:r>
        <w:rPr>
          <w:noProof/>
          <w:lang w:val="en-GB" w:eastAsia="en-GB"/>
        </w:rPr>
        <mc:AlternateContent>
          <mc:Choice Requires="wps">
            <w:drawing>
              <wp:anchor distT="0" distB="0" distL="114300" distR="114300" simplePos="0" relativeHeight="251662336" behindDoc="0" locked="0" layoutInCell="1" allowOverlap="1" wp14:anchorId="42E03D93" wp14:editId="2A2B975D">
                <wp:simplePos x="0" y="0"/>
                <wp:positionH relativeFrom="page">
                  <wp:posOffset>241300</wp:posOffset>
                </wp:positionH>
                <wp:positionV relativeFrom="paragraph">
                  <wp:posOffset>250825</wp:posOffset>
                </wp:positionV>
                <wp:extent cx="6965950" cy="1193800"/>
                <wp:effectExtent l="0" t="0" r="6350" b="6350"/>
                <wp:wrapNone/>
                <wp:docPr id="28"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950" cy="1193800"/>
                        </a:xfrm>
                        <a:prstGeom prst="rect">
                          <a:avLst/>
                        </a:prstGeom>
                        <a:solidFill>
                          <a:srgbClr val="00674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176501" w14:textId="32A02B45" w:rsidR="005B6E23" w:rsidRPr="00CD389F" w:rsidRDefault="00312885" w:rsidP="005B6E23">
                            <w:pPr>
                              <w:autoSpaceDE w:val="0"/>
                              <w:autoSpaceDN w:val="0"/>
                              <w:adjustRightInd w:val="0"/>
                              <w:spacing w:after="80" w:line="240" w:lineRule="auto"/>
                              <w:jc w:val="left"/>
                              <w:rPr>
                                <w:rFonts w:cs="Arial"/>
                                <w:b/>
                                <w:bCs/>
                                <w:color w:val="FFFFFF"/>
                                <w:sz w:val="30"/>
                                <w:szCs w:val="30"/>
                                <w:lang w:val="en-US"/>
                              </w:rPr>
                            </w:pPr>
                            <w:r>
                              <w:rPr>
                                <w:rFonts w:cs="Arial"/>
                                <w:b/>
                                <w:bCs/>
                                <w:color w:val="FFFFFF"/>
                                <w:sz w:val="30"/>
                                <w:szCs w:val="30"/>
                                <w:lang w:val="en-US"/>
                              </w:rPr>
                              <w:t xml:space="preserve">Salar Fund </w:t>
                            </w:r>
                            <w:r w:rsidR="005B6E23" w:rsidRPr="00CD389F">
                              <w:rPr>
                                <w:rFonts w:cs="Arial"/>
                                <w:b/>
                                <w:bCs/>
                                <w:color w:val="FFFFFF"/>
                                <w:sz w:val="30"/>
                                <w:szCs w:val="30"/>
                                <w:lang w:val="en-US"/>
                              </w:rPr>
                              <w:t>(the Fund) a sub-fund of CQS Funds (Ireland) plc (the Company)</w:t>
                            </w:r>
                            <w:r w:rsidR="00166B27">
                              <w:rPr>
                                <w:rFonts w:cs="Arial"/>
                                <w:b/>
                                <w:bCs/>
                                <w:color w:val="FFFFFF"/>
                                <w:sz w:val="30"/>
                                <w:szCs w:val="30"/>
                                <w:lang w:val="en-US"/>
                              </w:rPr>
                              <w:t>.</w:t>
                            </w:r>
                            <w:r w:rsidR="00166B27" w:rsidRPr="00166B27">
                              <w:rPr>
                                <w:rFonts w:ascii="Gill Sans MT" w:hAnsi="Gill Sans MT" w:cs="Arial"/>
                                <w:b/>
                                <w:bCs/>
                                <w:color w:val="FFFFFF"/>
                                <w:sz w:val="30"/>
                                <w:szCs w:val="30"/>
                                <w:lang w:val="en-US"/>
                              </w:rPr>
                              <w:t xml:space="preserve"> </w:t>
                            </w:r>
                            <w:r w:rsidR="00166B27" w:rsidRPr="00071532">
                              <w:rPr>
                                <w:rFonts w:ascii="Gill Sans MT" w:hAnsi="Gill Sans MT" w:cs="Arial"/>
                                <w:b/>
                                <w:bCs/>
                                <w:color w:val="FFFFFF"/>
                                <w:sz w:val="30"/>
                                <w:szCs w:val="30"/>
                                <w:lang w:val="en-US"/>
                              </w:rPr>
                              <w:t>The Manager is KBA Consulting Management Limited (the Manager)</w:t>
                            </w:r>
                            <w:r w:rsidR="00166B27">
                              <w:rPr>
                                <w:rFonts w:ascii="Gill Sans MT" w:hAnsi="Gill Sans MT" w:cs="Arial"/>
                                <w:b/>
                                <w:bCs/>
                                <w:color w:val="FFFFFF"/>
                                <w:sz w:val="30"/>
                                <w:szCs w:val="30"/>
                                <w:lang w:val="en-US"/>
                              </w:rPr>
                              <w:t>.</w:t>
                            </w:r>
                          </w:p>
                          <w:tbl>
                            <w:tblPr>
                              <w:tblStyle w:val="TableGrid"/>
                              <w:tblW w:w="108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3"/>
                              <w:gridCol w:w="5452"/>
                            </w:tblGrid>
                            <w:tr w:rsidR="002B0B2B" w14:paraId="55C73248" w14:textId="77777777" w:rsidTr="005D7124">
                              <w:trPr>
                                <w:trHeight w:val="345"/>
                                <w:jc w:val="center"/>
                              </w:trPr>
                              <w:tc>
                                <w:tcPr>
                                  <w:tcW w:w="5383" w:type="dxa"/>
                                </w:tcPr>
                                <w:p w14:paraId="2B664235" w14:textId="55689616" w:rsidR="002B0B2B" w:rsidRPr="005D7124" w:rsidRDefault="003E7314" w:rsidP="003E7314">
                                  <w:pPr>
                                    <w:spacing w:after="80" w:line="300" w:lineRule="exact"/>
                                    <w:rPr>
                                      <w:rFonts w:cs="Arial"/>
                                      <w:color w:val="FFFFFF"/>
                                      <w:sz w:val="24"/>
                                      <w:szCs w:val="25"/>
                                    </w:rPr>
                                  </w:pPr>
                                  <w:r w:rsidRPr="003E7314">
                                    <w:rPr>
                                      <w:rFonts w:cs="Arial"/>
                                      <w:color w:val="FFFFFF"/>
                                      <w:sz w:val="24"/>
                                      <w:szCs w:val="25"/>
                                    </w:rPr>
                                    <w:t>Class E1 Dist EUR (ISIN:IE00BBR6N535)</w:t>
                                  </w:r>
                                </w:p>
                              </w:tc>
                              <w:tc>
                                <w:tcPr>
                                  <w:tcW w:w="5452" w:type="dxa"/>
                                </w:tcPr>
                                <w:p w14:paraId="0D06B7D6" w14:textId="530CFE5E" w:rsidR="002B0B2B" w:rsidRPr="005D7124" w:rsidRDefault="003E7314" w:rsidP="003E7314">
                                  <w:pPr>
                                    <w:spacing w:after="80" w:line="300" w:lineRule="exact"/>
                                    <w:jc w:val="left"/>
                                    <w:rPr>
                                      <w:rFonts w:cs="Arial"/>
                                      <w:color w:val="FFFFFF"/>
                                      <w:sz w:val="24"/>
                                      <w:szCs w:val="25"/>
                                    </w:rPr>
                                  </w:pPr>
                                  <w:r w:rsidRPr="003E7314">
                                    <w:rPr>
                                      <w:rFonts w:cs="Arial"/>
                                      <w:color w:val="FFFFFF"/>
                                      <w:sz w:val="24"/>
                                      <w:szCs w:val="25"/>
                                    </w:rPr>
                                    <w:t>Class E1 Dist GBP (ISIN:IE00BBR6N758)</w:t>
                                  </w:r>
                                </w:p>
                              </w:tc>
                            </w:tr>
                          </w:tbl>
                          <w:p w14:paraId="0F84013F" w14:textId="77777777" w:rsidR="005B6E23" w:rsidRPr="00CD389F" w:rsidRDefault="005B6E23" w:rsidP="002C6136">
                            <w:pPr>
                              <w:widowControl/>
                              <w:autoSpaceDE w:val="0"/>
                              <w:autoSpaceDN w:val="0"/>
                              <w:adjustRightInd w:val="0"/>
                              <w:spacing w:line="240" w:lineRule="auto"/>
                              <w:jc w:val="left"/>
                              <w:rPr>
                                <w:rFonts w:cs="Arial"/>
                                <w:color w:val="FFFFFF"/>
                                <w:sz w:val="25"/>
                                <w:szCs w:val="25"/>
                              </w:rPr>
                            </w:pPr>
                          </w:p>
                        </w:txbxContent>
                      </wps:txbx>
                      <wps:bodyPr rot="0" vert="horz" wrap="square" lIns="126000" tIns="118800" rIns="126000" bIns="118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E03D93" id="_x0000_t202" coordsize="21600,21600" o:spt="202" path="m,l,21600r21600,l21600,xe">
                <v:stroke joinstyle="miter"/>
                <v:path gradientshapeok="t" o:connecttype="rect"/>
              </v:shapetype>
              <v:shape id="Text Box 96" o:spid="_x0000_s1027" type="#_x0000_t202" style="position:absolute;left:0;text-align:left;margin-left:19pt;margin-top:19.75pt;width:548.5pt;height:9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" fillcolor="#006747" stroked="f">
                <v:textbox inset="3.5mm,3.3mm,3.5mm,3.3mm">
                  <w:txbxContent>
                    <w:p w14:paraId="6F176501" w14:textId="32A02B45" w:rsidR="005B6E23" w:rsidRPr="00CD389F" w:rsidRDefault="00312885" w:rsidP="005B6E23">
                      <w:pPr>
                        <w:autoSpaceDE w:val="0"/>
                        <w:autoSpaceDN w:val="0"/>
                        <w:adjustRightInd w:val="0"/>
                        <w:spacing w:after="80" w:line="240" w:lineRule="auto"/>
                        <w:jc w:val="left"/>
                        <w:rPr>
                          <w:rFonts w:cs="Arial"/>
                          <w:b/>
                          <w:bCs/>
                          <w:color w:val="FFFFFF"/>
                          <w:sz w:val="30"/>
                          <w:szCs w:val="30"/>
                          <w:lang w:val="en-US"/>
                        </w:rPr>
                      </w:pPr>
                      <w:r>
                        <w:rPr>
                          <w:rFonts w:cs="Arial"/>
                          <w:b/>
                          <w:bCs/>
                          <w:color w:val="FFFFFF"/>
                          <w:sz w:val="30"/>
                          <w:szCs w:val="30"/>
                          <w:lang w:val="en-US"/>
                        </w:rPr>
                        <w:t xml:space="preserve">Salar Fund </w:t>
                      </w:r>
                      <w:r w:rsidR="005B6E23" w:rsidRPr="00CD389F">
                        <w:rPr>
                          <w:rFonts w:cs="Arial"/>
                          <w:b/>
                          <w:bCs/>
                          <w:color w:val="FFFFFF"/>
                          <w:sz w:val="30"/>
                          <w:szCs w:val="30"/>
                          <w:lang w:val="en-US"/>
                        </w:rPr>
                        <w:t>(the Fund) a sub-fund of CQS Funds (Ireland) plc (the Company)</w:t>
                      </w:r>
                      <w:r w:rsidR="00166B27">
                        <w:rPr>
                          <w:rFonts w:cs="Arial"/>
                          <w:b/>
                          <w:bCs/>
                          <w:color w:val="FFFFFF"/>
                          <w:sz w:val="30"/>
                          <w:szCs w:val="30"/>
                          <w:lang w:val="en-US"/>
                        </w:rPr>
                        <w:t>.</w:t>
                      </w:r>
                      <w:r w:rsidR="00166B27" w:rsidRPr="00166B27">
                        <w:rPr>
                          <w:rFonts w:ascii="Gill Sans MT" w:hAnsi="Gill Sans MT" w:cs="Arial"/>
                          <w:b/>
                          <w:bCs/>
                          <w:color w:val="FFFFFF"/>
                          <w:sz w:val="30"/>
                          <w:szCs w:val="30"/>
                          <w:lang w:val="en-US"/>
                        </w:rPr>
                        <w:t xml:space="preserve"> </w:t>
                      </w:r>
                      <w:r w:rsidR="00166B27" w:rsidRPr="00071532">
                        <w:rPr>
                          <w:rFonts w:ascii="Gill Sans MT" w:hAnsi="Gill Sans MT" w:cs="Arial"/>
                          <w:b/>
                          <w:bCs/>
                          <w:color w:val="FFFFFF"/>
                          <w:sz w:val="30"/>
                          <w:szCs w:val="30"/>
                          <w:lang w:val="en-US"/>
                        </w:rPr>
                        <w:t>The Manager is KBA Consulting Management Limited (the Manager)</w:t>
                      </w:r>
                      <w:r w:rsidR="00166B27">
                        <w:rPr>
                          <w:rFonts w:ascii="Gill Sans MT" w:hAnsi="Gill Sans MT" w:cs="Arial"/>
                          <w:b/>
                          <w:bCs/>
                          <w:color w:val="FFFFFF"/>
                          <w:sz w:val="30"/>
                          <w:szCs w:val="30"/>
                          <w:lang w:val="en-US"/>
                        </w:rPr>
                        <w:t>.</w:t>
                      </w:r>
                    </w:p>
                    <w:tbl>
                      <w:tblPr>
                        <w:tblStyle w:val="TableGrid"/>
                        <w:tblW w:w="108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3"/>
                        <w:gridCol w:w="5452"/>
                      </w:tblGrid>
                      <w:tr w:rsidR="002B0B2B" w14:paraId="55C73248" w14:textId="77777777" w:rsidTr="005D7124">
                        <w:trPr>
                          <w:trHeight w:val="345"/>
                          <w:jc w:val="center"/>
                        </w:trPr>
                        <w:tc>
                          <w:tcPr>
                            <w:tcW w:w="5383" w:type="dxa"/>
                          </w:tcPr>
                          <w:p w14:paraId="2B664235" w14:textId="55689616" w:rsidR="002B0B2B" w:rsidRPr="005D7124" w:rsidRDefault="003E7314" w:rsidP="003E7314">
                            <w:pPr>
                              <w:spacing w:after="80" w:line="300" w:lineRule="exact"/>
                              <w:rPr>
                                <w:rFonts w:cs="Arial"/>
                                <w:color w:val="FFFFFF"/>
                                <w:sz w:val="24"/>
                                <w:szCs w:val="25"/>
                              </w:rPr>
                            </w:pPr>
                            <w:r w:rsidRPr="003E7314">
                              <w:rPr>
                                <w:rFonts w:cs="Arial"/>
                                <w:color w:val="FFFFFF"/>
                                <w:sz w:val="24"/>
                                <w:szCs w:val="25"/>
                              </w:rPr>
                              <w:t>Class E1 Dist EUR (ISIN:IE00BBR6N535)</w:t>
                            </w:r>
                          </w:p>
                        </w:tc>
                        <w:tc>
                          <w:tcPr>
                            <w:tcW w:w="5452" w:type="dxa"/>
                          </w:tcPr>
                          <w:p w14:paraId="0D06B7D6" w14:textId="530CFE5E" w:rsidR="002B0B2B" w:rsidRPr="005D7124" w:rsidRDefault="003E7314" w:rsidP="003E7314">
                            <w:pPr>
                              <w:spacing w:after="80" w:line="300" w:lineRule="exact"/>
                              <w:jc w:val="left"/>
                              <w:rPr>
                                <w:rFonts w:cs="Arial"/>
                                <w:color w:val="FFFFFF"/>
                                <w:sz w:val="24"/>
                                <w:szCs w:val="25"/>
                              </w:rPr>
                            </w:pPr>
                            <w:r w:rsidRPr="003E7314">
                              <w:rPr>
                                <w:rFonts w:cs="Arial"/>
                                <w:color w:val="FFFFFF"/>
                                <w:sz w:val="24"/>
                                <w:szCs w:val="25"/>
                              </w:rPr>
                              <w:t>Class E1 Dist GBP (ISIN:IE00BBR6N758)</w:t>
                            </w:r>
                          </w:p>
                        </w:tc>
                      </w:tr>
                    </w:tbl>
                    <w:p w14:paraId="0F84013F" w14:textId="77777777" w:rsidR="005B6E23" w:rsidRPr="00CD389F" w:rsidRDefault="005B6E23" w:rsidP="002C6136">
                      <w:pPr>
                        <w:widowControl/>
                        <w:autoSpaceDE w:val="0"/>
                        <w:autoSpaceDN w:val="0"/>
                        <w:adjustRightInd w:val="0"/>
                        <w:spacing w:line="240" w:lineRule="auto"/>
                        <w:jc w:val="left"/>
                        <w:rPr>
                          <w:rFonts w:cs="Arial"/>
                          <w:color w:val="FFFFFF"/>
                          <w:sz w:val="25"/>
                          <w:szCs w:val="25"/>
                        </w:rPr>
                      </w:pPr>
                    </w:p>
                  </w:txbxContent>
                </v:textbox>
                <w10:wrap anchorx="page"/>
              </v:shape>
            </w:pict>
          </mc:Fallback>
        </mc:AlternateContent>
      </w:r>
    </w:p>
    <w:p w14:paraId="02ED85A9" w14:textId="6DE9CDC9" w:rsidR="005B6E23" w:rsidRDefault="00E91F43">
      <w:pPr>
        <w:widowControl/>
        <w:spacing w:after="160" w:line="259" w:lineRule="auto"/>
        <w:jc w:val="left"/>
      </w:pPr>
      <w:r>
        <w:rPr>
          <w:noProof/>
          <w:lang w:val="en-GB" w:eastAsia="en-GB"/>
        </w:rPr>
        <mc:AlternateContent>
          <mc:Choice Requires="wps">
            <w:drawing>
              <wp:anchor distT="0" distB="0" distL="114300" distR="114300" simplePos="0" relativeHeight="251668480" behindDoc="0" locked="0" layoutInCell="1" allowOverlap="1" wp14:anchorId="775DDF5F" wp14:editId="35FCD66D">
                <wp:simplePos x="0" y="0"/>
                <wp:positionH relativeFrom="column">
                  <wp:posOffset>2736376</wp:posOffset>
                </wp:positionH>
                <wp:positionV relativeFrom="paragraph">
                  <wp:posOffset>4229383</wp:posOffset>
                </wp:positionV>
                <wp:extent cx="3570605" cy="4742597"/>
                <wp:effectExtent l="0" t="0" r="0" b="127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0605" cy="47425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618A50" w14:textId="45A8D659" w:rsidR="005B6E23" w:rsidRDefault="00EC7D6F" w:rsidP="00EC7D6F">
                            <w:pPr>
                              <w:pStyle w:val="KIIDtext1"/>
                              <w:numPr>
                                <w:ilvl w:val="0"/>
                                <w:numId w:val="5"/>
                              </w:numPr>
                              <w:rPr>
                                <w:rFonts w:cs="Arial"/>
                                <w:sz w:val="17"/>
                                <w:lang w:val="en-GB"/>
                              </w:rPr>
                            </w:pPr>
                            <w:r w:rsidRPr="00C92E59">
                              <w:rPr>
                                <w:rFonts w:cs="Arial"/>
                                <w:b/>
                                <w:bCs/>
                                <w:sz w:val="17"/>
                                <w:lang w:val="en-GB"/>
                              </w:rPr>
                              <w:t>Class Currency Risk</w:t>
                            </w:r>
                            <w:r w:rsidRPr="00EC7D6F">
                              <w:rPr>
                                <w:rFonts w:cs="Arial"/>
                                <w:sz w:val="17"/>
                                <w:lang w:val="en-GB"/>
                              </w:rPr>
                              <w:t xml:space="preserve">: </w:t>
                            </w:r>
                            <w:r w:rsidR="00182EA0">
                              <w:rPr>
                                <w:rFonts w:cs="Arial"/>
                                <w:sz w:val="17"/>
                                <w:lang w:val="en-GB"/>
                              </w:rPr>
                              <w:t>C</w:t>
                            </w:r>
                            <w:r w:rsidRPr="00EC7D6F">
                              <w:rPr>
                                <w:rFonts w:cs="Arial"/>
                                <w:sz w:val="17"/>
                                <w:lang w:val="en-GB"/>
                              </w:rPr>
                              <w:t>urrency hedging may not be successful in mitigating the effects of exchange rate fluctuations on non-USD classes.</w:t>
                            </w:r>
                          </w:p>
                          <w:p w14:paraId="257A0D0D" w14:textId="7933FDD4" w:rsidR="00EC7D6F" w:rsidRPr="00EC7D6F" w:rsidRDefault="00EC7D6F" w:rsidP="00EC7D6F">
                            <w:pPr>
                              <w:pStyle w:val="KIIDtext1"/>
                              <w:numPr>
                                <w:ilvl w:val="0"/>
                                <w:numId w:val="5"/>
                              </w:numPr>
                              <w:rPr>
                                <w:rFonts w:cs="Arial"/>
                                <w:bCs/>
                                <w:sz w:val="17"/>
                                <w:lang w:val="en-GB"/>
                              </w:rPr>
                            </w:pPr>
                            <w:r w:rsidRPr="00C92E59">
                              <w:rPr>
                                <w:rFonts w:cs="Arial"/>
                                <w:b/>
                                <w:sz w:val="17"/>
                                <w:lang w:val="en-GB"/>
                              </w:rPr>
                              <w:t>Emerging markets risk</w:t>
                            </w:r>
                            <w:r w:rsidRPr="00EC7D6F">
                              <w:rPr>
                                <w:rFonts w:cs="Arial"/>
                                <w:bCs/>
                                <w:sz w:val="17"/>
                                <w:lang w:val="en-GB"/>
                              </w:rPr>
                              <w:t xml:space="preserve">: </w:t>
                            </w:r>
                            <w:r w:rsidR="00182EA0">
                              <w:rPr>
                                <w:rFonts w:cs="Arial"/>
                                <w:bCs/>
                                <w:sz w:val="17"/>
                                <w:lang w:val="en-GB"/>
                              </w:rPr>
                              <w:t>E</w:t>
                            </w:r>
                            <w:r w:rsidRPr="00EC7D6F">
                              <w:rPr>
                                <w:rFonts w:cs="Arial"/>
                                <w:bCs/>
                                <w:sz w:val="17"/>
                                <w:lang w:val="en-GB"/>
                              </w:rPr>
                              <w:t>merging markets are likely to bear higher risk due to lower liquidity and possible lack of adequate financial, legal, social, political and economic structures, protection and stability as well as uncertain tax positions.</w:t>
                            </w:r>
                          </w:p>
                          <w:p w14:paraId="56536B43" w14:textId="5A9DA4A0" w:rsidR="00EC7D6F" w:rsidRPr="00EC7D6F" w:rsidRDefault="00EC7D6F" w:rsidP="00EC7D6F">
                            <w:pPr>
                              <w:pStyle w:val="KIIDtext1"/>
                              <w:numPr>
                                <w:ilvl w:val="0"/>
                                <w:numId w:val="5"/>
                              </w:numPr>
                              <w:rPr>
                                <w:rFonts w:cs="Arial"/>
                                <w:bCs/>
                                <w:sz w:val="17"/>
                                <w:lang w:val="en-GB"/>
                              </w:rPr>
                            </w:pPr>
                            <w:r w:rsidRPr="00C92E59">
                              <w:rPr>
                                <w:rFonts w:cs="Arial"/>
                                <w:b/>
                                <w:sz w:val="17"/>
                                <w:lang w:val="en-GB"/>
                              </w:rPr>
                              <w:t>Operational risk</w:t>
                            </w:r>
                            <w:r w:rsidRPr="00EC7D6F">
                              <w:rPr>
                                <w:rFonts w:cs="Arial"/>
                                <w:bCs/>
                                <w:sz w:val="17"/>
                                <w:lang w:val="en-GB"/>
                              </w:rPr>
                              <w:t xml:space="preserve">: </w:t>
                            </w:r>
                            <w:r w:rsidR="00182EA0">
                              <w:rPr>
                                <w:rFonts w:cs="Arial"/>
                                <w:bCs/>
                                <w:sz w:val="17"/>
                                <w:lang w:val="en-GB"/>
                              </w:rPr>
                              <w:t>M</w:t>
                            </w:r>
                            <w:r w:rsidRPr="00EC7D6F">
                              <w:rPr>
                                <w:rFonts w:cs="Arial"/>
                                <w:bCs/>
                                <w:sz w:val="17"/>
                                <w:lang w:val="en-GB"/>
                              </w:rPr>
                              <w:t xml:space="preserve">aterial losses to the Fund may arise as a result of human error, system and/or process failure, inadequate procedures or controls. </w:t>
                            </w:r>
                          </w:p>
                          <w:p w14:paraId="5946C460" w14:textId="6CC17CA4" w:rsidR="00EC7D6F" w:rsidRPr="00EC7D6F" w:rsidRDefault="00EC7D6F" w:rsidP="00EC7D6F">
                            <w:pPr>
                              <w:pStyle w:val="KIIDtext1"/>
                              <w:numPr>
                                <w:ilvl w:val="0"/>
                                <w:numId w:val="5"/>
                              </w:numPr>
                              <w:rPr>
                                <w:rFonts w:cs="Arial"/>
                                <w:bCs/>
                                <w:sz w:val="17"/>
                                <w:lang w:val="en-GB"/>
                              </w:rPr>
                            </w:pPr>
                            <w:r w:rsidRPr="00C92E59">
                              <w:rPr>
                                <w:rFonts w:cs="Arial"/>
                                <w:b/>
                                <w:sz w:val="17"/>
                                <w:lang w:val="en-GB"/>
                              </w:rPr>
                              <w:t>Exchange rate risk</w:t>
                            </w:r>
                            <w:r w:rsidRPr="00EC7D6F">
                              <w:rPr>
                                <w:rFonts w:cs="Arial"/>
                                <w:bCs/>
                                <w:sz w:val="17"/>
                                <w:lang w:val="en-GB"/>
                              </w:rPr>
                              <w:t xml:space="preserve">: </w:t>
                            </w:r>
                            <w:r w:rsidR="00182EA0">
                              <w:rPr>
                                <w:rFonts w:cs="Arial"/>
                                <w:bCs/>
                                <w:sz w:val="17"/>
                                <w:lang w:val="en-GB"/>
                              </w:rPr>
                              <w:t>C</w:t>
                            </w:r>
                            <w:r w:rsidRPr="00EC7D6F">
                              <w:rPr>
                                <w:rFonts w:cs="Arial"/>
                                <w:bCs/>
                                <w:sz w:val="17"/>
                                <w:lang w:val="en-GB"/>
                              </w:rPr>
                              <w:t>hanges in exchange rates may reduce or increase the value of non-USD denominated assets held by the Fund. Currency hedging may not be successful in mitigating such effects.</w:t>
                            </w:r>
                          </w:p>
                          <w:p w14:paraId="0AE88B51" w14:textId="55D79CB5" w:rsidR="00EC7D6F" w:rsidRPr="00EC7D6F" w:rsidRDefault="00EC7D6F" w:rsidP="00EC7D6F">
                            <w:pPr>
                              <w:pStyle w:val="KIIDtext1"/>
                              <w:numPr>
                                <w:ilvl w:val="0"/>
                                <w:numId w:val="5"/>
                              </w:numPr>
                              <w:rPr>
                                <w:rFonts w:cs="Arial"/>
                                <w:bCs/>
                                <w:sz w:val="17"/>
                                <w:lang w:val="en-GB"/>
                              </w:rPr>
                            </w:pPr>
                            <w:r w:rsidRPr="00C92E59">
                              <w:rPr>
                                <w:rFonts w:cs="Arial"/>
                                <w:b/>
                                <w:sz w:val="17"/>
                                <w:lang w:val="en-GB"/>
                              </w:rPr>
                              <w:t>High-yield risk</w:t>
                            </w:r>
                            <w:r w:rsidRPr="00EC7D6F">
                              <w:rPr>
                                <w:rFonts w:cs="Arial"/>
                                <w:bCs/>
                                <w:sz w:val="17"/>
                                <w:lang w:val="en-GB"/>
                              </w:rPr>
                              <w:t xml:space="preserve">: </w:t>
                            </w:r>
                            <w:r w:rsidR="00182EA0">
                              <w:rPr>
                                <w:rFonts w:cs="Arial"/>
                                <w:bCs/>
                                <w:sz w:val="17"/>
                                <w:lang w:val="en-GB"/>
                              </w:rPr>
                              <w:t>H</w:t>
                            </w:r>
                            <w:r w:rsidRPr="00EC7D6F">
                              <w:rPr>
                                <w:rFonts w:cs="Arial"/>
                                <w:bCs/>
                                <w:sz w:val="17"/>
                                <w:lang w:val="en-GB"/>
                              </w:rPr>
                              <w:t xml:space="preserve">igh-yield investments, meaning instruments which pay a high amount of income generally involve greater credit risk and sensitivity to economic developments, giving rise to greater price movement than lower yielding instruments. </w:t>
                            </w:r>
                          </w:p>
                          <w:p w14:paraId="1635603F" w14:textId="620E7321" w:rsidR="00EC7D6F" w:rsidRPr="00EC7D6F" w:rsidRDefault="00EC7D6F" w:rsidP="00EC7D6F">
                            <w:pPr>
                              <w:pStyle w:val="KIIDtext1"/>
                              <w:numPr>
                                <w:ilvl w:val="0"/>
                                <w:numId w:val="5"/>
                              </w:numPr>
                              <w:rPr>
                                <w:rFonts w:cs="Arial"/>
                                <w:bCs/>
                                <w:sz w:val="17"/>
                                <w:lang w:val="en-GB"/>
                              </w:rPr>
                            </w:pPr>
                            <w:r w:rsidRPr="00C92E59">
                              <w:rPr>
                                <w:rFonts w:cs="Arial"/>
                                <w:b/>
                                <w:sz w:val="17"/>
                                <w:lang w:val="en-GB"/>
                              </w:rPr>
                              <w:t>Liquidity risk</w:t>
                            </w:r>
                            <w:r w:rsidRPr="00EC7D6F">
                              <w:rPr>
                                <w:rFonts w:cs="Arial"/>
                                <w:bCs/>
                                <w:sz w:val="17"/>
                                <w:lang w:val="en-GB"/>
                              </w:rPr>
                              <w:t xml:space="preserve">: </w:t>
                            </w:r>
                            <w:r w:rsidR="00182EA0">
                              <w:rPr>
                                <w:rFonts w:cs="Arial"/>
                                <w:bCs/>
                                <w:sz w:val="17"/>
                                <w:lang w:val="en-GB"/>
                              </w:rPr>
                              <w:t>C</w:t>
                            </w:r>
                            <w:r w:rsidRPr="00EC7D6F">
                              <w:rPr>
                                <w:rFonts w:cs="Arial"/>
                                <w:bCs/>
                                <w:sz w:val="17"/>
                                <w:lang w:val="en-GB"/>
                              </w:rPr>
                              <w:t xml:space="preserve">onvertible bonds are predominately traded on an </w:t>
                            </w:r>
                            <w:r w:rsidR="00482326" w:rsidRPr="00EC7D6F">
                              <w:rPr>
                                <w:rFonts w:cs="Arial"/>
                                <w:bCs/>
                                <w:sz w:val="17"/>
                                <w:lang w:val="en-GB"/>
                              </w:rPr>
                              <w:t>over-the-counter</w:t>
                            </w:r>
                            <w:r w:rsidRPr="00EC7D6F">
                              <w:rPr>
                                <w:rFonts w:cs="Arial"/>
                                <w:bCs/>
                                <w:sz w:val="17"/>
                                <w:lang w:val="en-GB"/>
                              </w:rPr>
                              <w:t xml:space="preserve"> market and may be subject to lower liquidity than the underlying equity securities.</w:t>
                            </w:r>
                          </w:p>
                          <w:p w14:paraId="18B9FEBF" w14:textId="5F6395F9" w:rsidR="00EC7D6F" w:rsidRPr="00EC7D6F" w:rsidRDefault="00EC7D6F" w:rsidP="00EC7D6F">
                            <w:pPr>
                              <w:pStyle w:val="KIIDtext1"/>
                              <w:numPr>
                                <w:ilvl w:val="0"/>
                                <w:numId w:val="5"/>
                              </w:numPr>
                              <w:rPr>
                                <w:rFonts w:cs="Arial"/>
                                <w:bCs/>
                                <w:sz w:val="17"/>
                                <w:lang w:val="en-GB"/>
                              </w:rPr>
                            </w:pPr>
                            <w:r w:rsidRPr="00C92E59">
                              <w:rPr>
                                <w:rFonts w:cs="Arial"/>
                                <w:b/>
                                <w:sz w:val="17"/>
                                <w:lang w:val="en-GB"/>
                              </w:rPr>
                              <w:t>Derivatives and leverage risk</w:t>
                            </w:r>
                            <w:r w:rsidRPr="00EC7D6F">
                              <w:rPr>
                                <w:rFonts w:cs="Arial"/>
                                <w:bCs/>
                                <w:sz w:val="17"/>
                                <w:lang w:val="en-GB"/>
                              </w:rPr>
                              <w:t xml:space="preserve">: </w:t>
                            </w:r>
                            <w:r w:rsidR="00182EA0">
                              <w:rPr>
                                <w:rFonts w:cs="Arial"/>
                                <w:bCs/>
                                <w:sz w:val="17"/>
                                <w:lang w:val="en-GB"/>
                              </w:rPr>
                              <w:t>C</w:t>
                            </w:r>
                            <w:r w:rsidRPr="00EC7D6F">
                              <w:rPr>
                                <w:rFonts w:cs="Arial"/>
                                <w:bCs/>
                                <w:sz w:val="17"/>
                                <w:lang w:val="en-GB"/>
                              </w:rPr>
                              <w:t xml:space="preserve">ertain Derivatives may introduce in leverage into the Fund which may result in losses greater than the amount originally invested in that Derivative. </w:t>
                            </w:r>
                          </w:p>
                          <w:p w14:paraId="452F9445" w14:textId="57E4FDFC" w:rsidR="00EC7D6F" w:rsidRPr="00EC7D6F" w:rsidRDefault="00EC7D6F" w:rsidP="00EC7D6F">
                            <w:pPr>
                              <w:pStyle w:val="KIIDtext1"/>
                              <w:rPr>
                                <w:rFonts w:cs="Arial"/>
                                <w:sz w:val="17"/>
                                <w:lang w:val="en-GB"/>
                              </w:rPr>
                            </w:pPr>
                            <w:r w:rsidRPr="00EC7D6F">
                              <w:rPr>
                                <w:rFonts w:cs="Arial"/>
                                <w:bCs/>
                                <w:sz w:val="17"/>
                                <w:lang w:val="en-GB"/>
                              </w:rPr>
                              <w:t xml:space="preserve">A more detailed description of the risk factors that apply to the Fund is set out in the </w:t>
                            </w:r>
                            <w:hyperlink r:id="rId11" w:history="1">
                              <w:r w:rsidRPr="00195BC5">
                                <w:rPr>
                                  <w:rStyle w:val="Hyperlink"/>
                                  <w:rFonts w:cs="Arial"/>
                                  <w:bCs/>
                                  <w:sz w:val="17"/>
                                  <w:lang w:val="en-GB"/>
                                </w:rPr>
                                <w:t xml:space="preserve">Fund’s </w:t>
                              </w:r>
                              <w:r w:rsidR="00182EA0" w:rsidRPr="00195BC5">
                                <w:rPr>
                                  <w:rStyle w:val="Hyperlink"/>
                                  <w:rFonts w:cs="Arial"/>
                                  <w:bCs/>
                                  <w:sz w:val="17"/>
                                  <w:lang w:val="en-GB"/>
                                </w:rPr>
                                <w:t>P</w:t>
                              </w:r>
                              <w:r w:rsidRPr="00195BC5">
                                <w:rPr>
                                  <w:rStyle w:val="Hyperlink"/>
                                  <w:rFonts w:cs="Arial"/>
                                  <w:bCs/>
                                  <w:sz w:val="17"/>
                                  <w:lang w:val="en-GB"/>
                                </w:rPr>
                                <w:t>rospectus</w:t>
                              </w:r>
                            </w:hyperlink>
                            <w:r w:rsidR="00E91F43">
                              <w:rPr>
                                <w:rFonts w:cs="Arial"/>
                                <w:bCs/>
                                <w:sz w:val="17"/>
                                <w:lang w:val="en-GB"/>
                              </w:rPr>
                              <w:t xml:space="preserve"> and </w:t>
                            </w:r>
                            <w:r w:rsidR="00182EA0">
                              <w:rPr>
                                <w:rFonts w:cs="Arial"/>
                                <w:bCs/>
                                <w:sz w:val="17"/>
                                <w:lang w:val="en-GB"/>
                              </w:rPr>
                              <w:t>S</w:t>
                            </w:r>
                            <w:r w:rsidR="00E91F43">
                              <w:rPr>
                                <w:rFonts w:cs="Arial"/>
                                <w:bCs/>
                                <w:sz w:val="17"/>
                                <w:lang w:val="en-GB"/>
                              </w:rPr>
                              <w:t xml:space="preserve">upplement.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5DDF5F" id="_x0000_s1028" type="#_x0000_t202" style="position:absolute;margin-left:215.45pt;margin-top:333pt;width:281.15pt;height:37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" stroked="f">
                <v:textbox>
                  <w:txbxContent>
                    <w:p w14:paraId="6E618A50" w14:textId="45A8D659" w:rsidR="005B6E23" w:rsidRDefault="00EC7D6F" w:rsidP="00EC7D6F">
                      <w:pPr>
                        <w:pStyle w:val="KIIDtext1"/>
                        <w:numPr>
                          <w:ilvl w:val="0"/>
                          <w:numId w:val="5"/>
                        </w:numPr>
                        <w:rPr>
                          <w:rFonts w:cs="Arial"/>
                          <w:sz w:val="17"/>
                          <w:lang w:val="en-GB"/>
                        </w:rPr>
                      </w:pPr>
                      <w:r w:rsidRPr="00C92E59">
                        <w:rPr>
                          <w:rFonts w:cs="Arial"/>
                          <w:b/>
                          <w:bCs/>
                          <w:sz w:val="17"/>
                          <w:lang w:val="en-GB"/>
                        </w:rPr>
                        <w:t>Class Currency Risk</w:t>
                      </w:r>
                      <w:r w:rsidRPr="00EC7D6F">
                        <w:rPr>
                          <w:rFonts w:cs="Arial"/>
                          <w:sz w:val="17"/>
                          <w:lang w:val="en-GB"/>
                        </w:rPr>
                        <w:t xml:space="preserve">: </w:t>
                      </w:r>
                      <w:r w:rsidR="00182EA0">
                        <w:rPr>
                          <w:rFonts w:cs="Arial"/>
                          <w:sz w:val="17"/>
                          <w:lang w:val="en-GB"/>
                        </w:rPr>
                        <w:t>C</w:t>
                      </w:r>
                      <w:r w:rsidRPr="00EC7D6F">
                        <w:rPr>
                          <w:rFonts w:cs="Arial"/>
                          <w:sz w:val="17"/>
                          <w:lang w:val="en-GB"/>
                        </w:rPr>
                        <w:t>urrency hedging may not be successful in mitigating the effects of exchange rate fluctuations on non-USD classes.</w:t>
                      </w:r>
                    </w:p>
                    <w:p w14:paraId="257A0D0D" w14:textId="7933FDD4" w:rsidR="00EC7D6F" w:rsidRPr="00EC7D6F" w:rsidRDefault="00EC7D6F" w:rsidP="00EC7D6F">
                      <w:pPr>
                        <w:pStyle w:val="KIIDtext1"/>
                        <w:numPr>
                          <w:ilvl w:val="0"/>
                          <w:numId w:val="5"/>
                        </w:numPr>
                        <w:rPr>
                          <w:rFonts w:cs="Arial"/>
                          <w:bCs/>
                          <w:sz w:val="17"/>
                          <w:lang w:val="en-GB"/>
                        </w:rPr>
                      </w:pPr>
                      <w:r w:rsidRPr="00C92E59">
                        <w:rPr>
                          <w:rFonts w:cs="Arial"/>
                          <w:b/>
                          <w:sz w:val="17"/>
                          <w:lang w:val="en-GB"/>
                        </w:rPr>
                        <w:t>Emerging markets risk</w:t>
                      </w:r>
                      <w:r w:rsidRPr="00EC7D6F">
                        <w:rPr>
                          <w:rFonts w:cs="Arial"/>
                          <w:bCs/>
                          <w:sz w:val="17"/>
                          <w:lang w:val="en-GB"/>
                        </w:rPr>
                        <w:t xml:space="preserve">: </w:t>
                      </w:r>
                      <w:r w:rsidR="00182EA0">
                        <w:rPr>
                          <w:rFonts w:cs="Arial"/>
                          <w:bCs/>
                          <w:sz w:val="17"/>
                          <w:lang w:val="en-GB"/>
                        </w:rPr>
                        <w:t>E</w:t>
                      </w:r>
                      <w:r w:rsidRPr="00EC7D6F">
                        <w:rPr>
                          <w:rFonts w:cs="Arial"/>
                          <w:bCs/>
                          <w:sz w:val="17"/>
                          <w:lang w:val="en-GB"/>
                        </w:rPr>
                        <w:t>merging markets are likely to bear higher risk due to lower liquidity and possible lack of adequate financial, legal, social, political and economic structures, protection and stability as well as uncertain tax positions.</w:t>
                      </w:r>
                    </w:p>
                    <w:p w14:paraId="56536B43" w14:textId="5A9DA4A0" w:rsidR="00EC7D6F" w:rsidRPr="00EC7D6F" w:rsidRDefault="00EC7D6F" w:rsidP="00EC7D6F">
                      <w:pPr>
                        <w:pStyle w:val="KIIDtext1"/>
                        <w:numPr>
                          <w:ilvl w:val="0"/>
                          <w:numId w:val="5"/>
                        </w:numPr>
                        <w:rPr>
                          <w:rFonts w:cs="Arial"/>
                          <w:bCs/>
                          <w:sz w:val="17"/>
                          <w:lang w:val="en-GB"/>
                        </w:rPr>
                      </w:pPr>
                      <w:r w:rsidRPr="00C92E59">
                        <w:rPr>
                          <w:rFonts w:cs="Arial"/>
                          <w:b/>
                          <w:sz w:val="17"/>
                          <w:lang w:val="en-GB"/>
                        </w:rPr>
                        <w:t>Operational risk</w:t>
                      </w:r>
                      <w:r w:rsidRPr="00EC7D6F">
                        <w:rPr>
                          <w:rFonts w:cs="Arial"/>
                          <w:bCs/>
                          <w:sz w:val="17"/>
                          <w:lang w:val="en-GB"/>
                        </w:rPr>
                        <w:t xml:space="preserve">: </w:t>
                      </w:r>
                      <w:r w:rsidR="00182EA0">
                        <w:rPr>
                          <w:rFonts w:cs="Arial"/>
                          <w:bCs/>
                          <w:sz w:val="17"/>
                          <w:lang w:val="en-GB"/>
                        </w:rPr>
                        <w:t>M</w:t>
                      </w:r>
                      <w:r w:rsidRPr="00EC7D6F">
                        <w:rPr>
                          <w:rFonts w:cs="Arial"/>
                          <w:bCs/>
                          <w:sz w:val="17"/>
                          <w:lang w:val="en-GB"/>
                        </w:rPr>
                        <w:t xml:space="preserve">aterial losses to the Fund may arise as a result of human error, system and/or process failure, inadequate procedures or controls. </w:t>
                      </w:r>
                    </w:p>
                    <w:p w14:paraId="5946C460" w14:textId="6CC17CA4" w:rsidR="00EC7D6F" w:rsidRPr="00EC7D6F" w:rsidRDefault="00EC7D6F" w:rsidP="00EC7D6F">
                      <w:pPr>
                        <w:pStyle w:val="KIIDtext1"/>
                        <w:numPr>
                          <w:ilvl w:val="0"/>
                          <w:numId w:val="5"/>
                        </w:numPr>
                        <w:rPr>
                          <w:rFonts w:cs="Arial"/>
                          <w:bCs/>
                          <w:sz w:val="17"/>
                          <w:lang w:val="en-GB"/>
                        </w:rPr>
                      </w:pPr>
                      <w:r w:rsidRPr="00C92E59">
                        <w:rPr>
                          <w:rFonts w:cs="Arial"/>
                          <w:b/>
                          <w:sz w:val="17"/>
                          <w:lang w:val="en-GB"/>
                        </w:rPr>
                        <w:t>Exchange rate risk</w:t>
                      </w:r>
                      <w:r w:rsidRPr="00EC7D6F">
                        <w:rPr>
                          <w:rFonts w:cs="Arial"/>
                          <w:bCs/>
                          <w:sz w:val="17"/>
                          <w:lang w:val="en-GB"/>
                        </w:rPr>
                        <w:t xml:space="preserve">: </w:t>
                      </w:r>
                      <w:r w:rsidR="00182EA0">
                        <w:rPr>
                          <w:rFonts w:cs="Arial"/>
                          <w:bCs/>
                          <w:sz w:val="17"/>
                          <w:lang w:val="en-GB"/>
                        </w:rPr>
                        <w:t>C</w:t>
                      </w:r>
                      <w:r w:rsidRPr="00EC7D6F">
                        <w:rPr>
                          <w:rFonts w:cs="Arial"/>
                          <w:bCs/>
                          <w:sz w:val="17"/>
                          <w:lang w:val="en-GB"/>
                        </w:rPr>
                        <w:t>hanges in exchange rates may reduce or increase the value of non-USD denominated assets held by the Fund. Currency hedging may not be successful in mitigating such effects.</w:t>
                      </w:r>
                    </w:p>
                    <w:p w14:paraId="0AE88B51" w14:textId="55D79CB5" w:rsidR="00EC7D6F" w:rsidRPr="00EC7D6F" w:rsidRDefault="00EC7D6F" w:rsidP="00EC7D6F">
                      <w:pPr>
                        <w:pStyle w:val="KIIDtext1"/>
                        <w:numPr>
                          <w:ilvl w:val="0"/>
                          <w:numId w:val="5"/>
                        </w:numPr>
                        <w:rPr>
                          <w:rFonts w:cs="Arial"/>
                          <w:bCs/>
                          <w:sz w:val="17"/>
                          <w:lang w:val="en-GB"/>
                        </w:rPr>
                      </w:pPr>
                      <w:r w:rsidRPr="00C92E59">
                        <w:rPr>
                          <w:rFonts w:cs="Arial"/>
                          <w:b/>
                          <w:sz w:val="17"/>
                          <w:lang w:val="en-GB"/>
                        </w:rPr>
                        <w:t>High-yield risk</w:t>
                      </w:r>
                      <w:r w:rsidRPr="00EC7D6F">
                        <w:rPr>
                          <w:rFonts w:cs="Arial"/>
                          <w:bCs/>
                          <w:sz w:val="17"/>
                          <w:lang w:val="en-GB"/>
                        </w:rPr>
                        <w:t xml:space="preserve">: </w:t>
                      </w:r>
                      <w:r w:rsidR="00182EA0">
                        <w:rPr>
                          <w:rFonts w:cs="Arial"/>
                          <w:bCs/>
                          <w:sz w:val="17"/>
                          <w:lang w:val="en-GB"/>
                        </w:rPr>
                        <w:t>H</w:t>
                      </w:r>
                      <w:r w:rsidRPr="00EC7D6F">
                        <w:rPr>
                          <w:rFonts w:cs="Arial"/>
                          <w:bCs/>
                          <w:sz w:val="17"/>
                          <w:lang w:val="en-GB"/>
                        </w:rPr>
                        <w:t xml:space="preserve">igh-yield investments, meaning instruments which pay a high amount of income generally involve greater credit risk and sensitivity to economic developments, giving rise to greater price movement than lower yielding instruments. </w:t>
                      </w:r>
                    </w:p>
                    <w:p w14:paraId="1635603F" w14:textId="620E7321" w:rsidR="00EC7D6F" w:rsidRPr="00EC7D6F" w:rsidRDefault="00EC7D6F" w:rsidP="00EC7D6F">
                      <w:pPr>
                        <w:pStyle w:val="KIIDtext1"/>
                        <w:numPr>
                          <w:ilvl w:val="0"/>
                          <w:numId w:val="5"/>
                        </w:numPr>
                        <w:rPr>
                          <w:rFonts w:cs="Arial"/>
                          <w:bCs/>
                          <w:sz w:val="17"/>
                          <w:lang w:val="en-GB"/>
                        </w:rPr>
                      </w:pPr>
                      <w:r w:rsidRPr="00C92E59">
                        <w:rPr>
                          <w:rFonts w:cs="Arial"/>
                          <w:b/>
                          <w:sz w:val="17"/>
                          <w:lang w:val="en-GB"/>
                        </w:rPr>
                        <w:t>Liquidity risk</w:t>
                      </w:r>
                      <w:r w:rsidRPr="00EC7D6F">
                        <w:rPr>
                          <w:rFonts w:cs="Arial"/>
                          <w:bCs/>
                          <w:sz w:val="17"/>
                          <w:lang w:val="en-GB"/>
                        </w:rPr>
                        <w:t xml:space="preserve">: </w:t>
                      </w:r>
                      <w:r w:rsidR="00182EA0">
                        <w:rPr>
                          <w:rFonts w:cs="Arial"/>
                          <w:bCs/>
                          <w:sz w:val="17"/>
                          <w:lang w:val="en-GB"/>
                        </w:rPr>
                        <w:t>C</w:t>
                      </w:r>
                      <w:r w:rsidRPr="00EC7D6F">
                        <w:rPr>
                          <w:rFonts w:cs="Arial"/>
                          <w:bCs/>
                          <w:sz w:val="17"/>
                          <w:lang w:val="en-GB"/>
                        </w:rPr>
                        <w:t xml:space="preserve">onvertible bonds are predominately traded on an </w:t>
                      </w:r>
                      <w:r w:rsidR="00482326" w:rsidRPr="00EC7D6F">
                        <w:rPr>
                          <w:rFonts w:cs="Arial"/>
                          <w:bCs/>
                          <w:sz w:val="17"/>
                          <w:lang w:val="en-GB"/>
                        </w:rPr>
                        <w:t>over-the-counter</w:t>
                      </w:r>
                      <w:r w:rsidRPr="00EC7D6F">
                        <w:rPr>
                          <w:rFonts w:cs="Arial"/>
                          <w:bCs/>
                          <w:sz w:val="17"/>
                          <w:lang w:val="en-GB"/>
                        </w:rPr>
                        <w:t xml:space="preserve"> market and may be subject to lower liquidity than the underlying equity securities.</w:t>
                      </w:r>
                    </w:p>
                    <w:p w14:paraId="18B9FEBF" w14:textId="5F6395F9" w:rsidR="00EC7D6F" w:rsidRPr="00EC7D6F" w:rsidRDefault="00EC7D6F" w:rsidP="00EC7D6F">
                      <w:pPr>
                        <w:pStyle w:val="KIIDtext1"/>
                        <w:numPr>
                          <w:ilvl w:val="0"/>
                          <w:numId w:val="5"/>
                        </w:numPr>
                        <w:rPr>
                          <w:rFonts w:cs="Arial"/>
                          <w:bCs/>
                          <w:sz w:val="17"/>
                          <w:lang w:val="en-GB"/>
                        </w:rPr>
                      </w:pPr>
                      <w:r w:rsidRPr="00C92E59">
                        <w:rPr>
                          <w:rFonts w:cs="Arial"/>
                          <w:b/>
                          <w:sz w:val="17"/>
                          <w:lang w:val="en-GB"/>
                        </w:rPr>
                        <w:t>Derivatives and leverage risk</w:t>
                      </w:r>
                      <w:r w:rsidRPr="00EC7D6F">
                        <w:rPr>
                          <w:rFonts w:cs="Arial"/>
                          <w:bCs/>
                          <w:sz w:val="17"/>
                          <w:lang w:val="en-GB"/>
                        </w:rPr>
                        <w:t xml:space="preserve">: </w:t>
                      </w:r>
                      <w:r w:rsidR="00182EA0">
                        <w:rPr>
                          <w:rFonts w:cs="Arial"/>
                          <w:bCs/>
                          <w:sz w:val="17"/>
                          <w:lang w:val="en-GB"/>
                        </w:rPr>
                        <w:t>C</w:t>
                      </w:r>
                      <w:r w:rsidRPr="00EC7D6F">
                        <w:rPr>
                          <w:rFonts w:cs="Arial"/>
                          <w:bCs/>
                          <w:sz w:val="17"/>
                          <w:lang w:val="en-GB"/>
                        </w:rPr>
                        <w:t xml:space="preserve">ertain Derivatives may introduce in leverage into the Fund which may result in losses greater than the amount originally invested in that Derivative. </w:t>
                      </w:r>
                    </w:p>
                    <w:p w14:paraId="452F9445" w14:textId="57E4FDFC" w:rsidR="00EC7D6F" w:rsidRPr="00EC7D6F" w:rsidRDefault="00EC7D6F" w:rsidP="00EC7D6F">
                      <w:pPr>
                        <w:pStyle w:val="KIIDtext1"/>
                        <w:rPr>
                          <w:rFonts w:cs="Arial"/>
                          <w:sz w:val="17"/>
                          <w:lang w:val="en-GB"/>
                        </w:rPr>
                      </w:pPr>
                      <w:r w:rsidRPr="00EC7D6F">
                        <w:rPr>
                          <w:rFonts w:cs="Arial"/>
                          <w:bCs/>
                          <w:sz w:val="17"/>
                          <w:lang w:val="en-GB"/>
                        </w:rPr>
                        <w:t xml:space="preserve">A more detailed description of the risk factors that apply to the Fund is set out in the </w:t>
                      </w:r>
                      <w:hyperlink r:id="rId12" w:history="1">
                        <w:r w:rsidRPr="00195BC5">
                          <w:rPr>
                            <w:rStyle w:val="Hyperlink"/>
                            <w:rFonts w:cs="Arial"/>
                            <w:bCs/>
                            <w:sz w:val="17"/>
                            <w:lang w:val="en-GB"/>
                          </w:rPr>
                          <w:t xml:space="preserve">Fund’s </w:t>
                        </w:r>
                        <w:r w:rsidR="00182EA0" w:rsidRPr="00195BC5">
                          <w:rPr>
                            <w:rStyle w:val="Hyperlink"/>
                            <w:rFonts w:cs="Arial"/>
                            <w:bCs/>
                            <w:sz w:val="17"/>
                            <w:lang w:val="en-GB"/>
                          </w:rPr>
                          <w:t>P</w:t>
                        </w:r>
                        <w:r w:rsidRPr="00195BC5">
                          <w:rPr>
                            <w:rStyle w:val="Hyperlink"/>
                            <w:rFonts w:cs="Arial"/>
                            <w:bCs/>
                            <w:sz w:val="17"/>
                            <w:lang w:val="en-GB"/>
                          </w:rPr>
                          <w:t>rospectus</w:t>
                        </w:r>
                      </w:hyperlink>
                      <w:r w:rsidR="00E91F43">
                        <w:rPr>
                          <w:rFonts w:cs="Arial"/>
                          <w:bCs/>
                          <w:sz w:val="17"/>
                          <w:lang w:val="en-GB"/>
                        </w:rPr>
                        <w:t xml:space="preserve"> and </w:t>
                      </w:r>
                      <w:r w:rsidR="00182EA0">
                        <w:rPr>
                          <w:rFonts w:cs="Arial"/>
                          <w:bCs/>
                          <w:sz w:val="17"/>
                          <w:lang w:val="en-GB"/>
                        </w:rPr>
                        <w:t>S</w:t>
                      </w:r>
                      <w:r w:rsidR="00E91F43">
                        <w:rPr>
                          <w:rFonts w:cs="Arial"/>
                          <w:bCs/>
                          <w:sz w:val="17"/>
                          <w:lang w:val="en-GB"/>
                        </w:rPr>
                        <w:t xml:space="preserve">upplement. </w:t>
                      </w:r>
                    </w:p>
                  </w:txbxContent>
                </v:textbox>
              </v:shape>
            </w:pict>
          </mc:Fallback>
        </mc:AlternateContent>
      </w:r>
      <w:r w:rsidR="00241528">
        <w:rPr>
          <w:noProof/>
          <w:lang w:val="en-GB" w:eastAsia="en-GB"/>
        </w:rPr>
        <mc:AlternateContent>
          <mc:Choice Requires="wps">
            <w:drawing>
              <wp:anchor distT="0" distB="0" distL="114300" distR="114300" simplePos="0" relativeHeight="251665408" behindDoc="0" locked="0" layoutInCell="1" allowOverlap="1" wp14:anchorId="09804B6A" wp14:editId="47FF8A6A">
                <wp:simplePos x="0" y="0"/>
                <wp:positionH relativeFrom="column">
                  <wp:posOffset>2676525</wp:posOffset>
                </wp:positionH>
                <wp:positionV relativeFrom="paragraph">
                  <wp:posOffset>1466850</wp:posOffset>
                </wp:positionV>
                <wp:extent cx="3650615" cy="2654300"/>
                <wp:effectExtent l="0" t="0" r="6985"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0615" cy="265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B1DBBE" w14:textId="5C154B41" w:rsidR="000769B6" w:rsidRDefault="000769B6" w:rsidP="00312885">
                            <w:pPr>
                              <w:pStyle w:val="KIIDtext1"/>
                              <w:spacing w:after="80"/>
                              <w:rPr>
                                <w:rFonts w:cs="Arial"/>
                                <w:sz w:val="17"/>
                                <w:lang w:val="en-GB"/>
                              </w:rPr>
                            </w:pPr>
                            <w:r w:rsidRPr="00312885">
                              <w:rPr>
                                <w:rFonts w:cs="Arial"/>
                                <w:sz w:val="17"/>
                                <w:lang w:val="en-GB"/>
                              </w:rPr>
                              <w:t xml:space="preserve">Any income less expenses earned by the Fund will not be distributed to investors but will be accumulated in the net asset value per share of the Fund instead. </w:t>
                            </w:r>
                          </w:p>
                          <w:p w14:paraId="7B0ED08D" w14:textId="34D8A154" w:rsidR="005B6E23" w:rsidRDefault="00312885" w:rsidP="00312885">
                            <w:pPr>
                              <w:pStyle w:val="KIIDtext1"/>
                              <w:spacing w:after="80"/>
                              <w:rPr>
                                <w:rFonts w:cs="Arial"/>
                                <w:sz w:val="17"/>
                                <w:lang w:val="en-GB"/>
                              </w:rPr>
                            </w:pPr>
                            <w:r w:rsidRPr="00312885">
                              <w:rPr>
                                <w:rFonts w:cs="Arial"/>
                                <w:sz w:val="17"/>
                                <w:lang w:val="en-GB"/>
                              </w:rPr>
                              <w:t>The value of the Fund is calculated and published daily and investors can buy and/or sell shares on any day in which the banks are open for business in Dublin and London.</w:t>
                            </w:r>
                          </w:p>
                          <w:p w14:paraId="6FDEAC5F" w14:textId="49682277" w:rsidR="00312885" w:rsidRPr="00312885" w:rsidRDefault="00312885" w:rsidP="00312885">
                            <w:pPr>
                              <w:pStyle w:val="KIIDtext1"/>
                              <w:spacing w:after="80"/>
                              <w:rPr>
                                <w:rFonts w:cs="Arial"/>
                                <w:bCs/>
                                <w:sz w:val="17"/>
                                <w:lang w:val="en-GB"/>
                              </w:rPr>
                            </w:pPr>
                            <w:r w:rsidRPr="00312885">
                              <w:rPr>
                                <w:rFonts w:cs="Arial"/>
                                <w:bCs/>
                                <w:sz w:val="17"/>
                                <w:lang w:val="en-GB"/>
                              </w:rPr>
                              <w:t>The Fund m</w:t>
                            </w:r>
                            <w:r w:rsidR="000769B6">
                              <w:rPr>
                                <w:rFonts w:cs="Arial"/>
                                <w:bCs/>
                                <w:sz w:val="17"/>
                                <w:lang w:val="en-GB"/>
                              </w:rPr>
                              <w:t>ay, but is not obliged to, use e</w:t>
                            </w:r>
                            <w:r w:rsidRPr="00312885">
                              <w:rPr>
                                <w:rFonts w:cs="Arial"/>
                                <w:bCs/>
                                <w:sz w:val="17"/>
                                <w:lang w:val="en-GB"/>
                              </w:rPr>
                              <w:t>quities to reduce risk and manage the Fund more effectively.</w:t>
                            </w:r>
                          </w:p>
                          <w:p w14:paraId="4C879E0A" w14:textId="49DC1E7A" w:rsidR="00312885" w:rsidRPr="00312885" w:rsidRDefault="000769B6" w:rsidP="00312885">
                            <w:pPr>
                              <w:pStyle w:val="KIIDtext1"/>
                              <w:spacing w:after="80"/>
                              <w:rPr>
                                <w:rFonts w:cs="Arial"/>
                                <w:bCs/>
                                <w:sz w:val="17"/>
                                <w:lang w:val="en-GB"/>
                              </w:rPr>
                            </w:pPr>
                            <w:r>
                              <w:rPr>
                                <w:rFonts w:cs="Arial"/>
                                <w:bCs/>
                                <w:sz w:val="17"/>
                                <w:lang w:val="en-GB"/>
                              </w:rPr>
                              <w:t>Financed derivative instrument</w:t>
                            </w:r>
                            <w:r w:rsidR="007355C1">
                              <w:rPr>
                                <w:rFonts w:cs="Arial"/>
                                <w:bCs/>
                                <w:sz w:val="17"/>
                                <w:lang w:val="en-GB"/>
                              </w:rPr>
                              <w:t>s</w:t>
                            </w:r>
                            <w:r>
                              <w:rPr>
                                <w:rFonts w:cs="Arial"/>
                                <w:bCs/>
                                <w:sz w:val="17"/>
                                <w:lang w:val="en-GB"/>
                              </w:rPr>
                              <w:t xml:space="preserve"> (FD</w:t>
                            </w:r>
                            <w:r w:rsidR="007355C1">
                              <w:rPr>
                                <w:rFonts w:cs="Arial"/>
                                <w:bCs/>
                                <w:sz w:val="17"/>
                                <w:lang w:val="en-GB"/>
                              </w:rPr>
                              <w:t>Is</w:t>
                            </w:r>
                            <w:r>
                              <w:rPr>
                                <w:rFonts w:cs="Arial"/>
                                <w:bCs/>
                                <w:sz w:val="17"/>
                                <w:lang w:val="en-GB"/>
                              </w:rPr>
                              <w:t>)</w:t>
                            </w:r>
                            <w:r w:rsidR="00312885" w:rsidRPr="00312885">
                              <w:rPr>
                                <w:rFonts w:cs="Arial"/>
                                <w:bCs/>
                                <w:sz w:val="17"/>
                                <w:lang w:val="en-GB"/>
                              </w:rPr>
                              <w:t xml:space="preserve"> may be used to achieve the investment objective and reduce risk or manage the Fund more effectively. This may include but is not limited to the use of </w:t>
                            </w:r>
                            <w:r>
                              <w:rPr>
                                <w:rFonts w:cs="Arial"/>
                                <w:bCs/>
                                <w:sz w:val="17"/>
                                <w:lang w:val="en-GB"/>
                              </w:rPr>
                              <w:t>FDIs to create a short e</w:t>
                            </w:r>
                            <w:r w:rsidR="00312885" w:rsidRPr="00312885">
                              <w:rPr>
                                <w:rFonts w:cs="Arial"/>
                                <w:bCs/>
                                <w:sz w:val="17"/>
                                <w:lang w:val="en-GB"/>
                              </w:rPr>
                              <w:t xml:space="preserve">quity position to reduce </w:t>
                            </w:r>
                            <w:r>
                              <w:rPr>
                                <w:rFonts w:cs="Arial"/>
                                <w:bCs/>
                                <w:sz w:val="17"/>
                                <w:lang w:val="en-GB"/>
                              </w:rPr>
                              <w:t>e</w:t>
                            </w:r>
                            <w:r w:rsidR="00312885" w:rsidRPr="00312885">
                              <w:rPr>
                                <w:rFonts w:cs="Arial"/>
                                <w:bCs/>
                                <w:sz w:val="17"/>
                                <w:lang w:val="en-GB"/>
                              </w:rPr>
                              <w:t xml:space="preserve">quity risk on long convertible bonds. </w:t>
                            </w:r>
                          </w:p>
                          <w:p w14:paraId="09C6C445" w14:textId="4D67054E" w:rsidR="00312885" w:rsidRPr="00312885" w:rsidRDefault="00312885" w:rsidP="00312885">
                            <w:pPr>
                              <w:pStyle w:val="KIIDtext1"/>
                              <w:spacing w:after="80"/>
                              <w:rPr>
                                <w:rFonts w:cs="Arial"/>
                                <w:b/>
                                <w:bCs/>
                                <w:sz w:val="17"/>
                                <w:lang w:val="en-GB"/>
                              </w:rPr>
                            </w:pPr>
                            <w:r w:rsidRPr="00312885">
                              <w:rPr>
                                <w:rFonts w:cs="Arial"/>
                                <w:bCs/>
                                <w:sz w:val="17"/>
                                <w:lang w:val="en-GB"/>
                              </w:rPr>
                              <w:t xml:space="preserve">For full investment objective and investment policy details, as well as subscription and redemption policies please refer to the </w:t>
                            </w:r>
                            <w:r w:rsidR="0000135C">
                              <w:rPr>
                                <w:rFonts w:cs="Arial"/>
                                <w:bCs/>
                                <w:sz w:val="17"/>
                                <w:lang w:val="en-GB"/>
                              </w:rPr>
                              <w:t>P</w:t>
                            </w:r>
                            <w:r w:rsidRPr="00312885">
                              <w:rPr>
                                <w:rFonts w:cs="Arial"/>
                                <w:bCs/>
                                <w:sz w:val="17"/>
                                <w:lang w:val="en-GB"/>
                              </w:rPr>
                              <w:t>rospectus.</w:t>
                            </w:r>
                          </w:p>
                          <w:p w14:paraId="356E3144" w14:textId="69A05DF9" w:rsidR="00312885" w:rsidRPr="00283C51" w:rsidRDefault="00312885" w:rsidP="00312885">
                            <w:pPr>
                              <w:pStyle w:val="KIIDtext1"/>
                              <w:spacing w:after="80"/>
                              <w:rPr>
                                <w:rFonts w:cs="Arial"/>
                                <w:sz w:val="17"/>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804B6A" id="_x0000_s1029" type="#_x0000_t202" style="position:absolute;margin-left:210.75pt;margin-top:115.5pt;width:287.45pt;height:20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" stroked="f">
                <v:textbox>
                  <w:txbxContent>
                    <w:p w14:paraId="75B1DBBE" w14:textId="5C154B41" w:rsidR="000769B6" w:rsidRDefault="000769B6" w:rsidP="00312885">
                      <w:pPr>
                        <w:pStyle w:val="KIIDtext1"/>
                        <w:spacing w:after="80"/>
                        <w:rPr>
                          <w:rFonts w:cs="Arial"/>
                          <w:sz w:val="17"/>
                          <w:lang w:val="en-GB"/>
                        </w:rPr>
                      </w:pPr>
                      <w:r w:rsidRPr="00312885">
                        <w:rPr>
                          <w:rFonts w:cs="Arial"/>
                          <w:sz w:val="17"/>
                          <w:lang w:val="en-GB"/>
                        </w:rPr>
                        <w:t xml:space="preserve">Any income less expenses earned by the Fund will not be distributed to investors but will be accumulated in the net asset value per share of the Fund instead. </w:t>
                      </w:r>
                    </w:p>
                    <w:p w14:paraId="7B0ED08D" w14:textId="34D8A154" w:rsidR="005B6E23" w:rsidRDefault="00312885" w:rsidP="00312885">
                      <w:pPr>
                        <w:pStyle w:val="KIIDtext1"/>
                        <w:spacing w:after="80"/>
                        <w:rPr>
                          <w:rFonts w:cs="Arial"/>
                          <w:sz w:val="17"/>
                          <w:lang w:val="en-GB"/>
                        </w:rPr>
                      </w:pPr>
                      <w:r w:rsidRPr="00312885">
                        <w:rPr>
                          <w:rFonts w:cs="Arial"/>
                          <w:sz w:val="17"/>
                          <w:lang w:val="en-GB"/>
                        </w:rPr>
                        <w:t xml:space="preserve">The value of the Fund is calculated and published </w:t>
                      </w:r>
                      <w:proofErr w:type="gramStart"/>
                      <w:r w:rsidRPr="00312885">
                        <w:rPr>
                          <w:rFonts w:cs="Arial"/>
                          <w:sz w:val="17"/>
                          <w:lang w:val="en-GB"/>
                        </w:rPr>
                        <w:t>daily</w:t>
                      </w:r>
                      <w:proofErr w:type="gramEnd"/>
                      <w:r w:rsidRPr="00312885">
                        <w:rPr>
                          <w:rFonts w:cs="Arial"/>
                          <w:sz w:val="17"/>
                          <w:lang w:val="en-GB"/>
                        </w:rPr>
                        <w:t xml:space="preserve"> and investors can buy and/or sell shares on any day in which the banks are open for business in Dublin and London.</w:t>
                      </w:r>
                    </w:p>
                    <w:p w14:paraId="6FDEAC5F" w14:textId="49682277" w:rsidR="00312885" w:rsidRPr="00312885" w:rsidRDefault="00312885" w:rsidP="00312885">
                      <w:pPr>
                        <w:pStyle w:val="KIIDtext1"/>
                        <w:spacing w:after="80"/>
                        <w:rPr>
                          <w:rFonts w:cs="Arial"/>
                          <w:bCs/>
                          <w:sz w:val="17"/>
                          <w:lang w:val="en-GB"/>
                        </w:rPr>
                      </w:pPr>
                      <w:r w:rsidRPr="00312885">
                        <w:rPr>
                          <w:rFonts w:cs="Arial"/>
                          <w:bCs/>
                          <w:sz w:val="17"/>
                          <w:lang w:val="en-GB"/>
                        </w:rPr>
                        <w:t>The Fund m</w:t>
                      </w:r>
                      <w:r w:rsidR="000769B6">
                        <w:rPr>
                          <w:rFonts w:cs="Arial"/>
                          <w:bCs/>
                          <w:sz w:val="17"/>
                          <w:lang w:val="en-GB"/>
                        </w:rPr>
                        <w:t>ay, but is not obliged to, use e</w:t>
                      </w:r>
                      <w:r w:rsidRPr="00312885">
                        <w:rPr>
                          <w:rFonts w:cs="Arial"/>
                          <w:bCs/>
                          <w:sz w:val="17"/>
                          <w:lang w:val="en-GB"/>
                        </w:rPr>
                        <w:t>quities to reduce risk and manage the Fund more effectively.</w:t>
                      </w:r>
                    </w:p>
                    <w:p w14:paraId="4C879E0A" w14:textId="49DC1E7A" w:rsidR="00312885" w:rsidRPr="00312885" w:rsidRDefault="000769B6" w:rsidP="00312885">
                      <w:pPr>
                        <w:pStyle w:val="KIIDtext1"/>
                        <w:spacing w:after="80"/>
                        <w:rPr>
                          <w:rFonts w:cs="Arial"/>
                          <w:bCs/>
                          <w:sz w:val="17"/>
                          <w:lang w:val="en-GB"/>
                        </w:rPr>
                      </w:pPr>
                      <w:r>
                        <w:rPr>
                          <w:rFonts w:cs="Arial"/>
                          <w:bCs/>
                          <w:sz w:val="17"/>
                          <w:lang w:val="en-GB"/>
                        </w:rPr>
                        <w:t>Financed derivative instrument</w:t>
                      </w:r>
                      <w:r w:rsidR="007355C1">
                        <w:rPr>
                          <w:rFonts w:cs="Arial"/>
                          <w:bCs/>
                          <w:sz w:val="17"/>
                          <w:lang w:val="en-GB"/>
                        </w:rPr>
                        <w:t>s</w:t>
                      </w:r>
                      <w:r>
                        <w:rPr>
                          <w:rFonts w:cs="Arial"/>
                          <w:bCs/>
                          <w:sz w:val="17"/>
                          <w:lang w:val="en-GB"/>
                        </w:rPr>
                        <w:t xml:space="preserve"> (FD</w:t>
                      </w:r>
                      <w:r w:rsidR="007355C1">
                        <w:rPr>
                          <w:rFonts w:cs="Arial"/>
                          <w:bCs/>
                          <w:sz w:val="17"/>
                          <w:lang w:val="en-GB"/>
                        </w:rPr>
                        <w:t>Is</w:t>
                      </w:r>
                      <w:r>
                        <w:rPr>
                          <w:rFonts w:cs="Arial"/>
                          <w:bCs/>
                          <w:sz w:val="17"/>
                          <w:lang w:val="en-GB"/>
                        </w:rPr>
                        <w:t>)</w:t>
                      </w:r>
                      <w:r w:rsidR="00312885" w:rsidRPr="00312885">
                        <w:rPr>
                          <w:rFonts w:cs="Arial"/>
                          <w:bCs/>
                          <w:sz w:val="17"/>
                          <w:lang w:val="en-GB"/>
                        </w:rPr>
                        <w:t xml:space="preserve"> may be used to achieve the investment objective and reduce risk or manage the Fund more effectively. This may include but is not limited to the use of </w:t>
                      </w:r>
                      <w:r>
                        <w:rPr>
                          <w:rFonts w:cs="Arial"/>
                          <w:bCs/>
                          <w:sz w:val="17"/>
                          <w:lang w:val="en-GB"/>
                        </w:rPr>
                        <w:t>FDIs to create a short e</w:t>
                      </w:r>
                      <w:r w:rsidR="00312885" w:rsidRPr="00312885">
                        <w:rPr>
                          <w:rFonts w:cs="Arial"/>
                          <w:bCs/>
                          <w:sz w:val="17"/>
                          <w:lang w:val="en-GB"/>
                        </w:rPr>
                        <w:t xml:space="preserve">quity position to reduce </w:t>
                      </w:r>
                      <w:r>
                        <w:rPr>
                          <w:rFonts w:cs="Arial"/>
                          <w:bCs/>
                          <w:sz w:val="17"/>
                          <w:lang w:val="en-GB"/>
                        </w:rPr>
                        <w:t>e</w:t>
                      </w:r>
                      <w:r w:rsidR="00312885" w:rsidRPr="00312885">
                        <w:rPr>
                          <w:rFonts w:cs="Arial"/>
                          <w:bCs/>
                          <w:sz w:val="17"/>
                          <w:lang w:val="en-GB"/>
                        </w:rPr>
                        <w:t xml:space="preserve">quity risk on long convertible bonds. </w:t>
                      </w:r>
                    </w:p>
                    <w:p w14:paraId="09C6C445" w14:textId="4D67054E" w:rsidR="00312885" w:rsidRPr="00312885" w:rsidRDefault="00312885" w:rsidP="00312885">
                      <w:pPr>
                        <w:pStyle w:val="KIIDtext1"/>
                        <w:spacing w:after="80"/>
                        <w:rPr>
                          <w:rFonts w:cs="Arial"/>
                          <w:b/>
                          <w:bCs/>
                          <w:sz w:val="17"/>
                          <w:lang w:val="en-GB"/>
                        </w:rPr>
                      </w:pPr>
                      <w:r w:rsidRPr="00312885">
                        <w:rPr>
                          <w:rFonts w:cs="Arial"/>
                          <w:bCs/>
                          <w:sz w:val="17"/>
                          <w:lang w:val="en-GB"/>
                        </w:rPr>
                        <w:t xml:space="preserve">For full investment objective and investment policy details, as well as subscription and redemption policies please refer to the </w:t>
                      </w:r>
                      <w:r w:rsidR="0000135C">
                        <w:rPr>
                          <w:rFonts w:cs="Arial"/>
                          <w:bCs/>
                          <w:sz w:val="17"/>
                          <w:lang w:val="en-GB"/>
                        </w:rPr>
                        <w:t>P</w:t>
                      </w:r>
                      <w:r w:rsidRPr="00312885">
                        <w:rPr>
                          <w:rFonts w:cs="Arial"/>
                          <w:bCs/>
                          <w:sz w:val="17"/>
                          <w:lang w:val="en-GB"/>
                        </w:rPr>
                        <w:t>rospectus.</w:t>
                      </w:r>
                    </w:p>
                    <w:p w14:paraId="356E3144" w14:textId="69A05DF9" w:rsidR="00312885" w:rsidRPr="00283C51" w:rsidRDefault="00312885" w:rsidP="00312885">
                      <w:pPr>
                        <w:pStyle w:val="KIIDtext1"/>
                        <w:spacing w:after="80"/>
                        <w:rPr>
                          <w:rFonts w:cs="Arial"/>
                          <w:sz w:val="17"/>
                        </w:rPr>
                      </w:pPr>
                    </w:p>
                  </w:txbxContent>
                </v:textbox>
              </v:shape>
            </w:pict>
          </mc:Fallback>
        </mc:AlternateContent>
      </w:r>
      <w:r w:rsidR="00241528">
        <w:rPr>
          <w:noProof/>
          <w:lang w:val="en-GB" w:eastAsia="en-GB"/>
        </w:rPr>
        <mc:AlternateContent>
          <mc:Choice Requires="wps">
            <w:drawing>
              <wp:anchor distT="0" distB="0" distL="114300" distR="114300" simplePos="0" relativeHeight="251664384" behindDoc="0" locked="0" layoutInCell="1" allowOverlap="1" wp14:anchorId="2B2EE4E4" wp14:editId="4D78D93D">
                <wp:simplePos x="0" y="0"/>
                <wp:positionH relativeFrom="column">
                  <wp:posOffset>-669290</wp:posOffset>
                </wp:positionH>
                <wp:positionV relativeFrom="paragraph">
                  <wp:posOffset>1485900</wp:posOffset>
                </wp:positionV>
                <wp:extent cx="3437255" cy="254000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7255" cy="254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8CCCC5" w14:textId="77777777" w:rsidR="00312885" w:rsidRPr="00312885" w:rsidRDefault="00312885" w:rsidP="00312885">
                            <w:pPr>
                              <w:pStyle w:val="KIIDtext1"/>
                              <w:spacing w:after="80"/>
                              <w:rPr>
                                <w:sz w:val="17"/>
                              </w:rPr>
                            </w:pPr>
                            <w:r w:rsidRPr="00312885">
                              <w:rPr>
                                <w:sz w:val="17"/>
                              </w:rPr>
                              <w:t>The Fund aims to generate positive returns and preserve capital principally by buying debt instruments that offer a yield but also the potential to convert to shares (convertible bonds). The Fund is actively managed and not managed with reference to a benchmark.</w:t>
                            </w:r>
                          </w:p>
                          <w:p w14:paraId="21988EBD" w14:textId="04436D76" w:rsidR="00312885" w:rsidRPr="00312885" w:rsidRDefault="00312885" w:rsidP="00312885">
                            <w:pPr>
                              <w:pStyle w:val="KIIDtext1"/>
                              <w:spacing w:after="80"/>
                              <w:rPr>
                                <w:sz w:val="17"/>
                              </w:rPr>
                            </w:pPr>
                            <w:r w:rsidRPr="00312885">
                              <w:rPr>
                                <w:sz w:val="17"/>
                              </w:rPr>
                              <w:t xml:space="preserve">The Fund aims to achieve a return that exceeds </w:t>
                            </w:r>
                            <w:r w:rsidR="008C2A01">
                              <w:rPr>
                                <w:sz w:val="17"/>
                              </w:rPr>
                              <w:t>SONIA</w:t>
                            </w:r>
                            <w:r w:rsidRPr="00312885">
                              <w:rPr>
                                <w:sz w:val="17"/>
                              </w:rPr>
                              <w:t>.</w:t>
                            </w:r>
                          </w:p>
                          <w:p w14:paraId="74A8B516" w14:textId="77777777" w:rsidR="00312885" w:rsidRPr="00312885" w:rsidRDefault="00312885" w:rsidP="00312885">
                            <w:pPr>
                              <w:pStyle w:val="KIIDtext1"/>
                              <w:spacing w:after="80"/>
                              <w:rPr>
                                <w:sz w:val="17"/>
                              </w:rPr>
                            </w:pPr>
                            <w:r w:rsidRPr="00312885">
                              <w:rPr>
                                <w:sz w:val="17"/>
                              </w:rPr>
                              <w:t xml:space="preserve">The Fund has a global focus. The Fund invests in bonds, issued by corporate or governmental issuers, which are either Investment Grade or non-Investment Grade in developed and emerging market countries. </w:t>
                            </w:r>
                          </w:p>
                          <w:p w14:paraId="10F3AC94" w14:textId="27670940" w:rsidR="003F4AED" w:rsidRPr="00BD0715" w:rsidRDefault="00312885" w:rsidP="00312885">
                            <w:pPr>
                              <w:pStyle w:val="KIIDtext1"/>
                              <w:spacing w:after="80"/>
                              <w:rPr>
                                <w:sz w:val="17"/>
                              </w:rPr>
                            </w:pPr>
                            <w:r w:rsidRPr="00312885">
                              <w:rPr>
                                <w:sz w:val="17"/>
                              </w:rPr>
                              <w:t xml:space="preserve">The Fund invests primarily in convertible bonds that are trading close to their fixed income value. These convertible bonds are less sensitive to share price movement and are more bond-like in their risk profile, offering protection if shares prices fall. If share prices rise, they can still participate in this rise as they become increasingly equity-like. </w:t>
                            </w:r>
                          </w:p>
                          <w:p w14:paraId="6F306050" w14:textId="77777777" w:rsidR="005B6E23" w:rsidRPr="00632B5E" w:rsidRDefault="005B6E23" w:rsidP="005B6E23">
                            <w:pPr>
                              <w:pStyle w:val="KIIDtext1"/>
                              <w:rPr>
                                <w:sz w:val="17"/>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2EE4E4" id="_x0000_s1030" type="#_x0000_t202" style="position:absolute;margin-left:-52.7pt;margin-top:117pt;width:270.65pt;height:20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" stroked="f">
                <v:textbox>
                  <w:txbxContent>
                    <w:p w14:paraId="518CCCC5" w14:textId="77777777" w:rsidR="00312885" w:rsidRPr="00312885" w:rsidRDefault="00312885" w:rsidP="00312885">
                      <w:pPr>
                        <w:pStyle w:val="KIIDtext1"/>
                        <w:spacing w:after="80"/>
                        <w:rPr>
                          <w:sz w:val="17"/>
                        </w:rPr>
                      </w:pPr>
                      <w:r w:rsidRPr="00312885">
                        <w:rPr>
                          <w:sz w:val="17"/>
                        </w:rPr>
                        <w:t>The Fund aims to generate positive returns and preserve capital principally by buying debt instruments that offer a yield but also the potential to convert to shares (convertible bonds). The Fund is actively managed and not managed with reference to a benchmark.</w:t>
                      </w:r>
                    </w:p>
                    <w:p w14:paraId="21988EBD" w14:textId="04436D76" w:rsidR="00312885" w:rsidRPr="00312885" w:rsidRDefault="00312885" w:rsidP="00312885">
                      <w:pPr>
                        <w:pStyle w:val="KIIDtext1"/>
                        <w:spacing w:after="80"/>
                        <w:rPr>
                          <w:sz w:val="17"/>
                        </w:rPr>
                      </w:pPr>
                      <w:r w:rsidRPr="00312885">
                        <w:rPr>
                          <w:sz w:val="17"/>
                        </w:rPr>
                        <w:t xml:space="preserve">The Fund aims to achieve a return that exceeds </w:t>
                      </w:r>
                      <w:r w:rsidR="008C2A01">
                        <w:rPr>
                          <w:sz w:val="17"/>
                        </w:rPr>
                        <w:t>SONIA</w:t>
                      </w:r>
                      <w:r w:rsidRPr="00312885">
                        <w:rPr>
                          <w:sz w:val="17"/>
                        </w:rPr>
                        <w:t>.</w:t>
                      </w:r>
                    </w:p>
                    <w:p w14:paraId="74A8B516" w14:textId="77777777" w:rsidR="00312885" w:rsidRPr="00312885" w:rsidRDefault="00312885" w:rsidP="00312885">
                      <w:pPr>
                        <w:pStyle w:val="KIIDtext1"/>
                        <w:spacing w:after="80"/>
                        <w:rPr>
                          <w:sz w:val="17"/>
                        </w:rPr>
                      </w:pPr>
                      <w:r w:rsidRPr="00312885">
                        <w:rPr>
                          <w:sz w:val="17"/>
                        </w:rPr>
                        <w:t xml:space="preserve">The Fund has a global focus. The Fund invests in bonds, issued by corporate or governmental issuers, which are either Investment Grade or non-Investment Grade in developed and emerging market countries. </w:t>
                      </w:r>
                    </w:p>
                    <w:p w14:paraId="10F3AC94" w14:textId="27670940" w:rsidR="003F4AED" w:rsidRPr="00BD0715" w:rsidRDefault="00312885" w:rsidP="00312885">
                      <w:pPr>
                        <w:pStyle w:val="KIIDtext1"/>
                        <w:spacing w:after="80"/>
                        <w:rPr>
                          <w:sz w:val="17"/>
                        </w:rPr>
                      </w:pPr>
                      <w:r w:rsidRPr="00312885">
                        <w:rPr>
                          <w:sz w:val="17"/>
                        </w:rPr>
                        <w:t xml:space="preserve">The Fund invests primarily in convertible bonds that are trading close to their fixed income value. These convertible bonds are less sensitive to share price movement and are more bond-like in their risk profile, offering protection if shares prices fall. If share prices rise, they can still participate in this rise as they become increasingly equity-like. </w:t>
                      </w:r>
                    </w:p>
                    <w:p w14:paraId="6F306050" w14:textId="77777777" w:rsidR="005B6E23" w:rsidRPr="00632B5E" w:rsidRDefault="005B6E23" w:rsidP="005B6E23">
                      <w:pPr>
                        <w:pStyle w:val="KIIDtext1"/>
                        <w:rPr>
                          <w:sz w:val="17"/>
                        </w:rPr>
                      </w:pPr>
                    </w:p>
                  </w:txbxContent>
                </v:textbox>
              </v:shape>
            </w:pict>
          </mc:Fallback>
        </mc:AlternateContent>
      </w:r>
      <w:r w:rsidR="00EE3310">
        <w:rPr>
          <w:noProof/>
          <w:lang w:val="en-GB" w:eastAsia="en-GB"/>
        </w:rPr>
        <mc:AlternateContent>
          <mc:Choice Requires="wps">
            <w:drawing>
              <wp:anchor distT="0" distB="0" distL="114300" distR="114300" simplePos="0" relativeHeight="251669504" behindDoc="0" locked="0" layoutInCell="1" allowOverlap="1" wp14:anchorId="54F53EE3" wp14:editId="27D949E9">
                <wp:simplePos x="0" y="0"/>
                <wp:positionH relativeFrom="column">
                  <wp:posOffset>-628650</wp:posOffset>
                </wp:positionH>
                <wp:positionV relativeFrom="paragraph">
                  <wp:posOffset>4330700</wp:posOffset>
                </wp:positionV>
                <wp:extent cx="3441700" cy="4660900"/>
                <wp:effectExtent l="0" t="0" r="6350" b="63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0" cy="4660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4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Pr>
                            <w:tblGrid>
                              <w:gridCol w:w="4939"/>
                            </w:tblGrid>
                            <w:tr w:rsidR="005B6E23" w:rsidRPr="00543AB0" w14:paraId="0AFB0406" w14:textId="77777777" w:rsidTr="00543AB0">
                              <w:tc>
                                <w:tcPr>
                                  <w:tcW w:w="4939" w:type="dxa"/>
                                  <w:tcBorders>
                                    <w:top w:val="nil"/>
                                    <w:left w:val="nil"/>
                                    <w:bottom w:val="nil"/>
                                    <w:right w:val="nil"/>
                                  </w:tcBorders>
                                  <w:shd w:val="clear" w:color="auto" w:fill="auto"/>
                                </w:tcPr>
                                <w:tbl>
                                  <w:tblPr>
                                    <w:tblW w:w="4916" w:type="dxa"/>
                                    <w:tblBorders>
                                      <w:top w:val="single" w:sz="18" w:space="0" w:color="FFFFFF"/>
                                      <w:bottom w:val="single" w:sz="18" w:space="0" w:color="FFFFFF"/>
                                    </w:tblBorders>
                                    <w:shd w:val="clear" w:color="auto" w:fill="FFFFFF"/>
                                    <w:tblCellMar>
                                      <w:top w:w="85" w:type="dxa"/>
                                      <w:left w:w="0" w:type="dxa"/>
                                      <w:right w:w="0" w:type="dxa"/>
                                    </w:tblCellMar>
                                    <w:tblLook w:val="04A0" w:firstRow="1" w:lastRow="0" w:firstColumn="1" w:lastColumn="0" w:noHBand="0" w:noVBand="1"/>
                                  </w:tblPr>
                                  <w:tblGrid>
                                    <w:gridCol w:w="23"/>
                                    <w:gridCol w:w="699"/>
                                    <w:gridCol w:w="676"/>
                                    <w:gridCol w:w="23"/>
                                    <w:gridCol w:w="699"/>
                                    <w:gridCol w:w="699"/>
                                    <w:gridCol w:w="699"/>
                                    <w:gridCol w:w="474"/>
                                    <w:gridCol w:w="225"/>
                                    <w:gridCol w:w="699"/>
                                  </w:tblGrid>
                                  <w:tr w:rsidR="005B6E23" w:rsidRPr="006F31C1" w14:paraId="262DD0F9" w14:textId="77777777" w:rsidTr="00DD49AB">
                                    <w:trPr>
                                      <w:trHeight w:val="168"/>
                                    </w:trPr>
                                    <w:tc>
                                      <w:tcPr>
                                        <w:tcW w:w="1398" w:type="dxa"/>
                                        <w:gridSpan w:val="3"/>
                                        <w:shd w:val="clear" w:color="auto" w:fill="auto"/>
                                        <w:vAlign w:val="bottom"/>
                                      </w:tcPr>
                                      <w:p w14:paraId="2184AA1D" w14:textId="77777777" w:rsidR="005B6E23" w:rsidRPr="006F31C1" w:rsidRDefault="005B6E23" w:rsidP="00543AB0">
                                        <w:pPr>
                                          <w:autoSpaceDE w:val="0"/>
                                          <w:autoSpaceDN w:val="0"/>
                                          <w:adjustRightInd w:val="0"/>
                                          <w:jc w:val="center"/>
                                          <w:rPr>
                                            <w:rFonts w:cs="Arial"/>
                                            <w:b/>
                                            <w:i/>
                                            <w:color w:val="006747"/>
                                            <w:sz w:val="16"/>
                                            <w:szCs w:val="16"/>
                                          </w:rPr>
                                        </w:pPr>
                                        <w:r w:rsidRPr="006F31C1">
                                          <w:rPr>
                                            <w:rFonts w:cs="Arial"/>
                                            <w:b/>
                                            <w:i/>
                                            <w:color w:val="006747"/>
                                            <w:sz w:val="16"/>
                                            <w:szCs w:val="16"/>
                                          </w:rPr>
                                          <w:t>Lower Risk</w:t>
                                        </w:r>
                                      </w:p>
                                    </w:tc>
                                    <w:tc>
                                      <w:tcPr>
                                        <w:tcW w:w="20" w:type="dxa"/>
                                        <w:shd w:val="clear" w:color="auto" w:fill="auto"/>
                                        <w:vAlign w:val="bottom"/>
                                      </w:tcPr>
                                      <w:p w14:paraId="797EDF04" w14:textId="77777777" w:rsidR="005B6E23" w:rsidRPr="006F31C1" w:rsidRDefault="005B6E23" w:rsidP="00543AB0">
                                        <w:pPr>
                                          <w:autoSpaceDE w:val="0"/>
                                          <w:autoSpaceDN w:val="0"/>
                                          <w:adjustRightInd w:val="0"/>
                                          <w:jc w:val="center"/>
                                          <w:rPr>
                                            <w:rFonts w:cs="Arial"/>
                                            <w:b/>
                                            <w:i/>
                                            <w:color w:val="8C8984"/>
                                            <w:sz w:val="16"/>
                                            <w:szCs w:val="16"/>
                                          </w:rPr>
                                        </w:pPr>
                                      </w:p>
                                    </w:tc>
                                    <w:tc>
                                      <w:tcPr>
                                        <w:tcW w:w="699" w:type="dxa"/>
                                        <w:shd w:val="clear" w:color="auto" w:fill="auto"/>
                                        <w:vAlign w:val="bottom"/>
                                      </w:tcPr>
                                      <w:p w14:paraId="133E9D68" w14:textId="77777777" w:rsidR="005B6E23" w:rsidRPr="006F31C1" w:rsidRDefault="005B6E23" w:rsidP="00543AB0">
                                        <w:pPr>
                                          <w:autoSpaceDE w:val="0"/>
                                          <w:autoSpaceDN w:val="0"/>
                                          <w:adjustRightInd w:val="0"/>
                                          <w:jc w:val="center"/>
                                          <w:rPr>
                                            <w:rFonts w:cs="Arial"/>
                                            <w:i/>
                                            <w:color w:val="8C8984"/>
                                            <w:sz w:val="16"/>
                                            <w:szCs w:val="16"/>
                                          </w:rPr>
                                        </w:pPr>
                                      </w:p>
                                    </w:tc>
                                    <w:tc>
                                      <w:tcPr>
                                        <w:tcW w:w="699" w:type="dxa"/>
                                        <w:shd w:val="clear" w:color="auto" w:fill="auto"/>
                                        <w:vAlign w:val="bottom"/>
                                      </w:tcPr>
                                      <w:p w14:paraId="6429697C" w14:textId="77777777" w:rsidR="005B6E23" w:rsidRPr="006F31C1" w:rsidRDefault="005B6E23" w:rsidP="00543AB0">
                                        <w:pPr>
                                          <w:autoSpaceDE w:val="0"/>
                                          <w:autoSpaceDN w:val="0"/>
                                          <w:adjustRightInd w:val="0"/>
                                          <w:jc w:val="center"/>
                                          <w:rPr>
                                            <w:rFonts w:cs="Arial"/>
                                            <w:i/>
                                            <w:color w:val="8C8984"/>
                                            <w:sz w:val="16"/>
                                            <w:szCs w:val="16"/>
                                          </w:rPr>
                                        </w:pPr>
                                      </w:p>
                                    </w:tc>
                                    <w:tc>
                                      <w:tcPr>
                                        <w:tcW w:w="699" w:type="dxa"/>
                                        <w:shd w:val="clear" w:color="auto" w:fill="auto"/>
                                        <w:vAlign w:val="bottom"/>
                                      </w:tcPr>
                                      <w:p w14:paraId="23C0978F" w14:textId="77777777" w:rsidR="005B6E23" w:rsidRPr="006F31C1" w:rsidRDefault="005B6E23" w:rsidP="00543AB0">
                                        <w:pPr>
                                          <w:autoSpaceDE w:val="0"/>
                                          <w:autoSpaceDN w:val="0"/>
                                          <w:adjustRightInd w:val="0"/>
                                          <w:jc w:val="center"/>
                                          <w:rPr>
                                            <w:rFonts w:cs="Arial"/>
                                            <w:i/>
                                            <w:color w:val="8C8984"/>
                                            <w:sz w:val="16"/>
                                            <w:szCs w:val="16"/>
                                          </w:rPr>
                                        </w:pPr>
                                      </w:p>
                                    </w:tc>
                                    <w:tc>
                                      <w:tcPr>
                                        <w:tcW w:w="474" w:type="dxa"/>
                                        <w:shd w:val="clear" w:color="auto" w:fill="auto"/>
                                        <w:vAlign w:val="bottom"/>
                                      </w:tcPr>
                                      <w:p w14:paraId="2E8316CD" w14:textId="77777777" w:rsidR="005B6E23" w:rsidRPr="006F31C1" w:rsidRDefault="005B6E23" w:rsidP="00543AB0">
                                        <w:pPr>
                                          <w:autoSpaceDE w:val="0"/>
                                          <w:autoSpaceDN w:val="0"/>
                                          <w:adjustRightInd w:val="0"/>
                                          <w:jc w:val="center"/>
                                          <w:rPr>
                                            <w:rFonts w:cs="Arial"/>
                                            <w:i/>
                                            <w:color w:val="8C8984"/>
                                            <w:sz w:val="16"/>
                                            <w:szCs w:val="16"/>
                                          </w:rPr>
                                        </w:pPr>
                                      </w:p>
                                    </w:tc>
                                    <w:tc>
                                      <w:tcPr>
                                        <w:tcW w:w="924" w:type="dxa"/>
                                        <w:gridSpan w:val="2"/>
                                        <w:shd w:val="clear" w:color="auto" w:fill="auto"/>
                                        <w:vAlign w:val="bottom"/>
                                      </w:tcPr>
                                      <w:p w14:paraId="760E85BE" w14:textId="77777777" w:rsidR="005B6E23" w:rsidRPr="006F31C1" w:rsidRDefault="005B6E23" w:rsidP="00543AB0">
                                        <w:pPr>
                                          <w:autoSpaceDE w:val="0"/>
                                          <w:autoSpaceDN w:val="0"/>
                                          <w:adjustRightInd w:val="0"/>
                                          <w:jc w:val="center"/>
                                          <w:rPr>
                                            <w:rFonts w:cs="Arial"/>
                                            <w:b/>
                                            <w:i/>
                                            <w:color w:val="006747"/>
                                            <w:sz w:val="16"/>
                                            <w:szCs w:val="16"/>
                                          </w:rPr>
                                        </w:pPr>
                                        <w:r w:rsidRPr="006F31C1">
                                          <w:rPr>
                                            <w:rFonts w:cs="Arial"/>
                                            <w:b/>
                                            <w:i/>
                                            <w:color w:val="006747"/>
                                            <w:sz w:val="16"/>
                                            <w:szCs w:val="16"/>
                                          </w:rPr>
                                          <w:t>Higher Risk</w:t>
                                        </w:r>
                                      </w:p>
                                    </w:tc>
                                  </w:tr>
                                  <w:tr w:rsidR="005B6E23" w:rsidRPr="006F31C1" w14:paraId="7E4321A5" w14:textId="77777777" w:rsidTr="00DD49AB">
                                    <w:trPr>
                                      <w:trHeight w:val="20"/>
                                    </w:trPr>
                                    <w:tc>
                                      <w:tcPr>
                                        <w:tcW w:w="2117" w:type="dxa"/>
                                        <w:gridSpan w:val="5"/>
                                        <w:shd w:val="clear" w:color="auto" w:fill="auto"/>
                                        <w:vAlign w:val="bottom"/>
                                      </w:tcPr>
                                      <w:p w14:paraId="46B6992D" w14:textId="77777777" w:rsidR="005B6E23" w:rsidRPr="006F31C1" w:rsidRDefault="005B6E23" w:rsidP="00543AB0">
                                        <w:pPr>
                                          <w:autoSpaceDE w:val="0"/>
                                          <w:autoSpaceDN w:val="0"/>
                                          <w:adjustRightInd w:val="0"/>
                                          <w:jc w:val="center"/>
                                          <w:rPr>
                                            <w:rFonts w:cs="Arial"/>
                                            <w:b/>
                                            <w:i/>
                                            <w:color w:val="006747"/>
                                            <w:sz w:val="10"/>
                                            <w:szCs w:val="10"/>
                                          </w:rPr>
                                        </w:pPr>
                                      </w:p>
                                      <w:p w14:paraId="661F4071" w14:textId="77777777" w:rsidR="005B6E23" w:rsidRPr="006F31C1" w:rsidRDefault="005B6E23" w:rsidP="00543AB0">
                                        <w:pPr>
                                          <w:autoSpaceDE w:val="0"/>
                                          <w:autoSpaceDN w:val="0"/>
                                          <w:adjustRightInd w:val="0"/>
                                          <w:jc w:val="center"/>
                                          <w:rPr>
                                            <w:rFonts w:cs="Arial"/>
                                            <w:i/>
                                            <w:color w:val="8C8984"/>
                                            <w:sz w:val="16"/>
                                            <w:szCs w:val="16"/>
                                          </w:rPr>
                                        </w:pPr>
                                        <w:r w:rsidRPr="006F31C1">
                                          <w:rPr>
                                            <w:rFonts w:cs="Arial"/>
                                            <w:b/>
                                            <w:i/>
                                            <w:color w:val="006747"/>
                                            <w:sz w:val="16"/>
                                            <w:szCs w:val="16"/>
                                          </w:rPr>
                                          <w:t>Typically lower rewards</w:t>
                                        </w:r>
                                      </w:p>
                                    </w:tc>
                                    <w:tc>
                                      <w:tcPr>
                                        <w:tcW w:w="699" w:type="dxa"/>
                                        <w:shd w:val="clear" w:color="auto" w:fill="auto"/>
                                        <w:vAlign w:val="bottom"/>
                                      </w:tcPr>
                                      <w:p w14:paraId="57F81ADF" w14:textId="77777777" w:rsidR="005B6E23" w:rsidRPr="006F31C1" w:rsidRDefault="005B6E23" w:rsidP="00543AB0">
                                        <w:pPr>
                                          <w:autoSpaceDE w:val="0"/>
                                          <w:autoSpaceDN w:val="0"/>
                                          <w:adjustRightInd w:val="0"/>
                                          <w:jc w:val="center"/>
                                          <w:rPr>
                                            <w:rFonts w:cs="Arial"/>
                                            <w:i/>
                                            <w:color w:val="8C8984"/>
                                            <w:sz w:val="16"/>
                                            <w:szCs w:val="16"/>
                                          </w:rPr>
                                        </w:pPr>
                                      </w:p>
                                    </w:tc>
                                    <w:tc>
                                      <w:tcPr>
                                        <w:tcW w:w="2097" w:type="dxa"/>
                                        <w:gridSpan w:val="4"/>
                                        <w:shd w:val="clear" w:color="auto" w:fill="auto"/>
                                        <w:vAlign w:val="bottom"/>
                                      </w:tcPr>
                                      <w:p w14:paraId="642BC576" w14:textId="77777777" w:rsidR="005B6E23" w:rsidRPr="006F31C1" w:rsidRDefault="005B6E23" w:rsidP="00543AB0">
                                        <w:pPr>
                                          <w:autoSpaceDE w:val="0"/>
                                          <w:autoSpaceDN w:val="0"/>
                                          <w:adjustRightInd w:val="0"/>
                                          <w:jc w:val="center"/>
                                          <w:rPr>
                                            <w:rFonts w:cs="Arial"/>
                                            <w:b/>
                                            <w:i/>
                                            <w:color w:val="006747"/>
                                            <w:sz w:val="16"/>
                                            <w:szCs w:val="16"/>
                                          </w:rPr>
                                        </w:pPr>
                                        <w:r w:rsidRPr="006F31C1">
                                          <w:rPr>
                                            <w:rFonts w:cs="Arial"/>
                                            <w:b/>
                                            <w:i/>
                                            <w:color w:val="006747"/>
                                            <w:sz w:val="16"/>
                                            <w:szCs w:val="16"/>
                                          </w:rPr>
                                          <w:t>Typically higher rewards</w:t>
                                        </w:r>
                                      </w:p>
                                    </w:tc>
                                  </w:tr>
                                  <w:tr w:rsidR="005B6E23" w:rsidRPr="006F31C1" w14:paraId="1BFF7AA0" w14:textId="77777777" w:rsidTr="00DD49AB">
                                    <w:tblPrEx>
                                      <w:tblBorders>
                                        <w:top w:val="none" w:sz="0" w:space="0" w:color="auto"/>
                                        <w:bottom w:val="none" w:sz="0" w:space="0" w:color="auto"/>
                                        <w:insideV w:val="single" w:sz="12" w:space="0" w:color="5696BC"/>
                                      </w:tblBorders>
                                    </w:tblPrEx>
                                    <w:trPr>
                                      <w:gridBefore w:val="1"/>
                                      <w:wBefore w:w="23" w:type="dxa"/>
                                      <w:trHeight w:val="402"/>
                                    </w:trPr>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706EB8B7" w14:textId="77777777" w:rsidR="005B6E23" w:rsidRPr="006F31C1" w:rsidRDefault="005B6E23" w:rsidP="00543AB0">
                                        <w:pPr>
                                          <w:autoSpaceDE w:val="0"/>
                                          <w:autoSpaceDN w:val="0"/>
                                          <w:adjustRightInd w:val="0"/>
                                          <w:spacing w:before="80" w:after="60"/>
                                          <w:jc w:val="center"/>
                                          <w:rPr>
                                            <w:rFonts w:cs="Arial"/>
                                            <w:b/>
                                            <w:color w:val="006747"/>
                                            <w:szCs w:val="16"/>
                                          </w:rPr>
                                        </w:pPr>
                                        <w:r w:rsidRPr="006F31C1">
                                          <w:rPr>
                                            <w:rFonts w:cs="Arial"/>
                                            <w:b/>
                                            <w:color w:val="006747"/>
                                            <w:szCs w:val="16"/>
                                          </w:rPr>
                                          <w:t>1</w:t>
                                        </w:r>
                                      </w:p>
                                    </w:tc>
                                    <w:tc>
                                      <w:tcPr>
                                        <w:tcW w:w="699" w:type="dxa"/>
                                        <w:gridSpan w:val="2"/>
                                        <w:tcBorders>
                                          <w:top w:val="single" w:sz="18" w:space="0" w:color="FFFFFF"/>
                                          <w:left w:val="single" w:sz="18" w:space="0" w:color="FFFFFF"/>
                                          <w:bottom w:val="single" w:sz="18" w:space="0" w:color="FFFFFF"/>
                                          <w:right w:val="single" w:sz="18" w:space="0" w:color="FFFFFF"/>
                                        </w:tcBorders>
                                        <w:shd w:val="clear" w:color="auto" w:fill="CCE1DA"/>
                                        <w:vAlign w:val="center"/>
                                      </w:tcPr>
                                      <w:p w14:paraId="62B13565" w14:textId="77777777" w:rsidR="005B6E23" w:rsidRPr="006F31C1" w:rsidRDefault="005B6E23" w:rsidP="00543AB0">
                                        <w:pPr>
                                          <w:autoSpaceDE w:val="0"/>
                                          <w:autoSpaceDN w:val="0"/>
                                          <w:adjustRightInd w:val="0"/>
                                          <w:spacing w:before="80" w:after="60"/>
                                          <w:jc w:val="center"/>
                                          <w:rPr>
                                            <w:rFonts w:cs="Arial"/>
                                            <w:b/>
                                            <w:color w:val="006747"/>
                                            <w:szCs w:val="16"/>
                                          </w:rPr>
                                        </w:pPr>
                                        <w:r w:rsidRPr="006F31C1">
                                          <w:rPr>
                                            <w:rFonts w:cs="Arial"/>
                                            <w:b/>
                                            <w:color w:val="006747"/>
                                            <w:szCs w:val="16"/>
                                          </w:rPr>
                                          <w:t>2</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435A59B4" w14:textId="77777777" w:rsidR="005B6E23" w:rsidRPr="006F31C1" w:rsidRDefault="005B6E23" w:rsidP="00543AB0">
                                        <w:pPr>
                                          <w:autoSpaceDE w:val="0"/>
                                          <w:autoSpaceDN w:val="0"/>
                                          <w:adjustRightInd w:val="0"/>
                                          <w:spacing w:before="80" w:after="60"/>
                                          <w:jc w:val="center"/>
                                          <w:rPr>
                                            <w:rFonts w:cs="Arial"/>
                                            <w:b/>
                                            <w:color w:val="006747"/>
                                            <w:szCs w:val="16"/>
                                          </w:rPr>
                                        </w:pPr>
                                        <w:r w:rsidRPr="006F31C1">
                                          <w:rPr>
                                            <w:rFonts w:cs="Arial"/>
                                            <w:b/>
                                            <w:color w:val="006747"/>
                                            <w:szCs w:val="16"/>
                                          </w:rPr>
                                          <w:t>3</w:t>
                                        </w:r>
                                      </w:p>
                                    </w:tc>
                                    <w:tc>
                                      <w:tcPr>
                                        <w:tcW w:w="699" w:type="dxa"/>
                                        <w:tcBorders>
                                          <w:top w:val="single" w:sz="18" w:space="0" w:color="FFFFFF"/>
                                          <w:left w:val="single" w:sz="18" w:space="0" w:color="FFFFFF"/>
                                          <w:bottom w:val="single" w:sz="18" w:space="0" w:color="FFFFFF"/>
                                          <w:right w:val="single" w:sz="18" w:space="0" w:color="FFFFFF"/>
                                        </w:tcBorders>
                                        <w:shd w:val="clear" w:color="auto" w:fill="006747"/>
                                        <w:vAlign w:val="center"/>
                                      </w:tcPr>
                                      <w:p w14:paraId="7C302B73" w14:textId="77777777" w:rsidR="005B6E23" w:rsidRPr="006F31C1" w:rsidRDefault="005B6E23" w:rsidP="00543AB0">
                                        <w:pPr>
                                          <w:autoSpaceDE w:val="0"/>
                                          <w:autoSpaceDN w:val="0"/>
                                          <w:adjustRightInd w:val="0"/>
                                          <w:spacing w:before="80" w:after="60"/>
                                          <w:jc w:val="center"/>
                                          <w:rPr>
                                            <w:rFonts w:cs="Arial"/>
                                            <w:b/>
                                            <w:color w:val="FFFFFF"/>
                                            <w:szCs w:val="16"/>
                                          </w:rPr>
                                        </w:pPr>
                                        <w:r w:rsidRPr="006F31C1">
                                          <w:rPr>
                                            <w:rFonts w:cs="Arial"/>
                                            <w:b/>
                                            <w:color w:val="FFFFFF"/>
                                            <w:szCs w:val="16"/>
                                          </w:rPr>
                                          <w:t>4</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EFFCB8B" w14:textId="77777777" w:rsidR="005B6E23" w:rsidRPr="006F31C1" w:rsidRDefault="005B6E23" w:rsidP="00543AB0">
                                        <w:pPr>
                                          <w:autoSpaceDE w:val="0"/>
                                          <w:autoSpaceDN w:val="0"/>
                                          <w:adjustRightInd w:val="0"/>
                                          <w:spacing w:before="80" w:after="60"/>
                                          <w:jc w:val="center"/>
                                          <w:rPr>
                                            <w:rFonts w:cs="Arial"/>
                                            <w:b/>
                                            <w:color w:val="006747"/>
                                            <w:szCs w:val="16"/>
                                          </w:rPr>
                                        </w:pPr>
                                        <w:r w:rsidRPr="006F31C1">
                                          <w:rPr>
                                            <w:rFonts w:cs="Arial"/>
                                            <w:b/>
                                            <w:color w:val="006747"/>
                                            <w:szCs w:val="16"/>
                                          </w:rPr>
                                          <w:t>5</w:t>
                                        </w:r>
                                      </w:p>
                                    </w:tc>
                                    <w:tc>
                                      <w:tcPr>
                                        <w:tcW w:w="699" w:type="dxa"/>
                                        <w:gridSpan w:val="2"/>
                                        <w:tcBorders>
                                          <w:top w:val="single" w:sz="18" w:space="0" w:color="FFFFFF"/>
                                          <w:left w:val="single" w:sz="18" w:space="0" w:color="FFFFFF"/>
                                          <w:bottom w:val="single" w:sz="18" w:space="0" w:color="FFFFFF"/>
                                          <w:right w:val="single" w:sz="18" w:space="0" w:color="FFFFFF"/>
                                        </w:tcBorders>
                                        <w:shd w:val="clear" w:color="auto" w:fill="CCE1DA"/>
                                        <w:vAlign w:val="center"/>
                                      </w:tcPr>
                                      <w:p w14:paraId="16307B93" w14:textId="77777777" w:rsidR="005B6E23" w:rsidRPr="006F31C1" w:rsidRDefault="005B6E23" w:rsidP="00543AB0">
                                        <w:pPr>
                                          <w:autoSpaceDE w:val="0"/>
                                          <w:autoSpaceDN w:val="0"/>
                                          <w:adjustRightInd w:val="0"/>
                                          <w:spacing w:before="80" w:after="60"/>
                                          <w:jc w:val="center"/>
                                          <w:rPr>
                                            <w:rFonts w:cs="Arial"/>
                                            <w:b/>
                                            <w:color w:val="006747"/>
                                            <w:szCs w:val="16"/>
                                          </w:rPr>
                                        </w:pPr>
                                        <w:r w:rsidRPr="006F31C1">
                                          <w:rPr>
                                            <w:rFonts w:cs="Arial"/>
                                            <w:b/>
                                            <w:color w:val="006747"/>
                                            <w:szCs w:val="16"/>
                                          </w:rPr>
                                          <w:t>6</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D017557" w14:textId="77777777" w:rsidR="005B6E23" w:rsidRPr="006F31C1" w:rsidRDefault="005B6E23" w:rsidP="00543AB0">
                                        <w:pPr>
                                          <w:autoSpaceDE w:val="0"/>
                                          <w:autoSpaceDN w:val="0"/>
                                          <w:adjustRightInd w:val="0"/>
                                          <w:spacing w:before="80" w:after="60"/>
                                          <w:jc w:val="center"/>
                                          <w:rPr>
                                            <w:rFonts w:cs="Arial"/>
                                            <w:b/>
                                            <w:color w:val="006747"/>
                                            <w:szCs w:val="16"/>
                                          </w:rPr>
                                        </w:pPr>
                                        <w:r w:rsidRPr="006F31C1">
                                          <w:rPr>
                                            <w:rFonts w:cs="Arial"/>
                                            <w:b/>
                                            <w:color w:val="006747"/>
                                            <w:szCs w:val="16"/>
                                          </w:rPr>
                                          <w:t>7</w:t>
                                        </w:r>
                                      </w:p>
                                    </w:tc>
                                  </w:tr>
                                </w:tbl>
                                <w:p w14:paraId="331014CE" w14:textId="77777777" w:rsidR="005B6E23" w:rsidRPr="00543AB0" w:rsidRDefault="005B6E23" w:rsidP="00543AB0">
                                  <w:pPr>
                                    <w:tabs>
                                      <w:tab w:val="left" w:pos="2268"/>
                                    </w:tabs>
                                    <w:autoSpaceDE w:val="0"/>
                                    <w:autoSpaceDN w:val="0"/>
                                    <w:adjustRightInd w:val="0"/>
                                    <w:spacing w:before="80" w:after="60"/>
                                    <w:rPr>
                                      <w:rFonts w:ascii="Gill Sans MT" w:hAnsi="Gill Sans MT"/>
                                      <w:color w:val="FFFFFF"/>
                                      <w:sz w:val="16"/>
                                      <w:szCs w:val="16"/>
                                    </w:rPr>
                                  </w:pPr>
                                </w:p>
                              </w:tc>
                            </w:tr>
                          </w:tbl>
                          <w:p w14:paraId="21D7440D" w14:textId="29CAFF77" w:rsidR="00EC7D6F" w:rsidRPr="00EC7D6F" w:rsidRDefault="00EC7D6F" w:rsidP="00EC7D6F">
                            <w:pPr>
                              <w:pStyle w:val="KIIDtext1"/>
                              <w:rPr>
                                <w:sz w:val="17"/>
                                <w:lang w:val="en-GB"/>
                              </w:rPr>
                            </w:pPr>
                            <w:r w:rsidRPr="00EC7D6F">
                              <w:rPr>
                                <w:sz w:val="17"/>
                                <w:lang w:val="en-GB"/>
                              </w:rPr>
                              <w:t xml:space="preserve">The Fund is categorised as a 4 for the purposes of this table due to its investments in convertible bonds and use of </w:t>
                            </w:r>
                            <w:r w:rsidR="001D71A7">
                              <w:rPr>
                                <w:sz w:val="17"/>
                                <w:lang w:val="en-GB"/>
                              </w:rPr>
                              <w:t>FDIs</w:t>
                            </w:r>
                            <w:r w:rsidRPr="00EC7D6F">
                              <w:rPr>
                                <w:sz w:val="17"/>
                                <w:lang w:val="en-GB"/>
                              </w:rPr>
                              <w:t>.</w:t>
                            </w:r>
                            <w:r>
                              <w:rPr>
                                <w:sz w:val="17"/>
                                <w:lang w:val="en-GB"/>
                              </w:rPr>
                              <w:t xml:space="preserve"> </w:t>
                            </w:r>
                            <w:r w:rsidRPr="00EC7D6F">
                              <w:rPr>
                                <w:sz w:val="17"/>
                                <w:lang w:val="en-GB"/>
                              </w:rPr>
                              <w:t>This means that the Fund’s risk is normally higher than that of fixed income instruments but lower than that of equity instruments.</w:t>
                            </w:r>
                          </w:p>
                          <w:p w14:paraId="5A5A5B79" w14:textId="77777777" w:rsidR="00EC7D6F" w:rsidRPr="00EC7D6F" w:rsidRDefault="00EC7D6F" w:rsidP="00EC7D6F">
                            <w:pPr>
                              <w:pStyle w:val="KIIDtext1"/>
                              <w:rPr>
                                <w:sz w:val="17"/>
                                <w:lang w:val="en-GB"/>
                              </w:rPr>
                            </w:pPr>
                            <w:r w:rsidRPr="00EC7D6F">
                              <w:rPr>
                                <w:sz w:val="17"/>
                                <w:lang w:val="en-GB"/>
                              </w:rPr>
                              <w:t>Like convertible bond and equity markets, the Fund may experience downward price movements from time to time. While the Fund seeks to reduce risk by investing in a diversified range of assets, such diversification does not eliminate risk.</w:t>
                            </w:r>
                          </w:p>
                          <w:p w14:paraId="57740600" w14:textId="6BB74986" w:rsidR="00EC7D6F" w:rsidRPr="00EC7D6F" w:rsidRDefault="00EC7D6F" w:rsidP="00EC7D6F">
                            <w:pPr>
                              <w:pStyle w:val="KIIDtext1"/>
                              <w:rPr>
                                <w:sz w:val="17"/>
                                <w:lang w:val="en-GB"/>
                              </w:rPr>
                            </w:pPr>
                            <w:r w:rsidRPr="00EC7D6F">
                              <w:rPr>
                                <w:sz w:val="17"/>
                                <w:lang w:val="en-GB"/>
                              </w:rPr>
                              <w:t xml:space="preserve">The risk and reward indicator </w:t>
                            </w:r>
                            <w:r w:rsidR="000934DB">
                              <w:rPr>
                                <w:sz w:val="17"/>
                                <w:lang w:val="en-GB"/>
                              </w:rPr>
                              <w:t>has been</w:t>
                            </w:r>
                            <w:r w:rsidR="000934DB" w:rsidRPr="00EC7D6F">
                              <w:rPr>
                                <w:sz w:val="17"/>
                                <w:lang w:val="en-GB"/>
                              </w:rPr>
                              <w:t xml:space="preserve"> </w:t>
                            </w:r>
                            <w:r w:rsidRPr="00EC7D6F">
                              <w:rPr>
                                <w:sz w:val="17"/>
                                <w:lang w:val="en-GB"/>
                              </w:rPr>
                              <w:t>calculated using historic data and may not be a reliable indication of the future profile of the Fund.</w:t>
                            </w:r>
                          </w:p>
                          <w:p w14:paraId="19170E10" w14:textId="2D64FA7C" w:rsidR="00EC7D6F" w:rsidRPr="00EC7D6F" w:rsidRDefault="00EC7D6F" w:rsidP="00EC7D6F">
                            <w:pPr>
                              <w:pStyle w:val="KIIDtext1"/>
                              <w:rPr>
                                <w:sz w:val="17"/>
                                <w:lang w:val="en-GB"/>
                              </w:rPr>
                            </w:pPr>
                            <w:r w:rsidRPr="00EC7D6F">
                              <w:rPr>
                                <w:sz w:val="17"/>
                                <w:lang w:val="en-GB"/>
                              </w:rPr>
                              <w:t xml:space="preserve">The risk and reward category shown above is not guaranteed and may move up or down over time. The lowest category does not mean </w:t>
                            </w:r>
                            <w:r w:rsidR="000934DB">
                              <w:rPr>
                                <w:sz w:val="17"/>
                                <w:lang w:val="en-GB"/>
                              </w:rPr>
                              <w:t xml:space="preserve">a </w:t>
                            </w:r>
                            <w:r w:rsidRPr="00EC7D6F">
                              <w:rPr>
                                <w:sz w:val="17"/>
                                <w:lang w:val="en-GB"/>
                              </w:rPr>
                              <w:t>risk free</w:t>
                            </w:r>
                            <w:r w:rsidR="000934DB">
                              <w:rPr>
                                <w:sz w:val="17"/>
                                <w:lang w:val="en-GB"/>
                              </w:rPr>
                              <w:t xml:space="preserve"> investment</w:t>
                            </w:r>
                            <w:r w:rsidRPr="00EC7D6F">
                              <w:rPr>
                                <w:sz w:val="17"/>
                                <w:lang w:val="en-GB"/>
                              </w:rPr>
                              <w:t>.</w:t>
                            </w:r>
                          </w:p>
                          <w:p w14:paraId="4F759B39" w14:textId="7C72D361" w:rsidR="00491D9D" w:rsidRDefault="00EC7D6F" w:rsidP="005B6E23">
                            <w:pPr>
                              <w:pStyle w:val="KIIDtext1"/>
                              <w:rPr>
                                <w:sz w:val="17"/>
                                <w:lang w:val="en-GB"/>
                              </w:rPr>
                            </w:pPr>
                            <w:r w:rsidRPr="00EC7D6F">
                              <w:rPr>
                                <w:sz w:val="17"/>
                                <w:lang w:val="en-GB"/>
                              </w:rPr>
                              <w:t>The Fund price may fall as well as rise and as a result you may not get back the original amount you invested.</w:t>
                            </w:r>
                          </w:p>
                          <w:p w14:paraId="5E146FE5" w14:textId="77777777" w:rsidR="00EC7D6F" w:rsidRPr="00EC7D6F" w:rsidRDefault="00EC7D6F" w:rsidP="00EC7D6F">
                            <w:pPr>
                              <w:pStyle w:val="KIIDtext1"/>
                              <w:rPr>
                                <w:rFonts w:cs="Arial"/>
                                <w:b/>
                                <w:sz w:val="17"/>
                                <w:lang w:val="en-GB"/>
                              </w:rPr>
                            </w:pPr>
                            <w:r w:rsidRPr="00EC7D6F">
                              <w:rPr>
                                <w:rFonts w:cs="Arial"/>
                                <w:b/>
                                <w:sz w:val="17"/>
                                <w:lang w:val="en-GB"/>
                              </w:rPr>
                              <w:t>Other Material Risks</w:t>
                            </w:r>
                          </w:p>
                          <w:p w14:paraId="51158BAB" w14:textId="718C9CF4" w:rsidR="00EC7D6F" w:rsidRDefault="00EC7D6F" w:rsidP="00EC7D6F">
                            <w:pPr>
                              <w:pStyle w:val="KIIDtext1"/>
                              <w:numPr>
                                <w:ilvl w:val="0"/>
                                <w:numId w:val="5"/>
                              </w:numPr>
                              <w:rPr>
                                <w:rFonts w:cs="Arial"/>
                                <w:sz w:val="17"/>
                                <w:lang w:val="en-GB"/>
                              </w:rPr>
                            </w:pPr>
                            <w:r w:rsidRPr="00C92E59">
                              <w:rPr>
                                <w:rFonts w:cs="Arial"/>
                                <w:b/>
                                <w:bCs/>
                                <w:sz w:val="17"/>
                                <w:lang w:val="en-GB"/>
                              </w:rPr>
                              <w:t>Credit/Counterparty risk</w:t>
                            </w:r>
                            <w:r w:rsidRPr="00EC7D6F">
                              <w:rPr>
                                <w:rFonts w:cs="Arial"/>
                                <w:sz w:val="17"/>
                                <w:lang w:val="en-GB"/>
                              </w:rPr>
                              <w:t xml:space="preserve">: </w:t>
                            </w:r>
                            <w:r w:rsidR="00182EA0">
                              <w:rPr>
                                <w:rFonts w:cs="Arial"/>
                                <w:sz w:val="17"/>
                                <w:lang w:val="en-GB"/>
                              </w:rPr>
                              <w:t>A</w:t>
                            </w:r>
                            <w:r w:rsidRPr="00EC7D6F">
                              <w:rPr>
                                <w:rFonts w:cs="Arial"/>
                                <w:sz w:val="17"/>
                                <w:lang w:val="en-GB"/>
                              </w:rPr>
                              <w:t xml:space="preserve"> party or issuer that the Fund transacts with may fail to meet its obligations which could cause losses.</w:t>
                            </w:r>
                          </w:p>
                          <w:p w14:paraId="5C2434DC" w14:textId="77777777" w:rsidR="00EC7D6F" w:rsidRPr="00EC7D6F" w:rsidRDefault="00EC7D6F" w:rsidP="005B6E23">
                            <w:pPr>
                              <w:pStyle w:val="KIIDtext1"/>
                              <w:rPr>
                                <w:sz w:val="17"/>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F53EE3" id="_x0000_s1031" type="#_x0000_t202" style="position:absolute;margin-left:-49.5pt;margin-top:341pt;width:271pt;height:36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" stroked="f">
                <v:textbox>
                  <w:txbxContent>
                    <w:tbl>
                      <w:tblPr>
                        <w:tblW w:w="4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Pr>
                      <w:tblGrid>
                        <w:gridCol w:w="4939"/>
                      </w:tblGrid>
                      <w:tr w:rsidR="005B6E23" w:rsidRPr="00543AB0" w14:paraId="0AFB0406" w14:textId="77777777" w:rsidTr="00543AB0">
                        <w:tc>
                          <w:tcPr>
                            <w:tcW w:w="4939" w:type="dxa"/>
                            <w:tcBorders>
                              <w:top w:val="nil"/>
                              <w:left w:val="nil"/>
                              <w:bottom w:val="nil"/>
                              <w:right w:val="nil"/>
                            </w:tcBorders>
                            <w:shd w:val="clear" w:color="auto" w:fill="auto"/>
                          </w:tcPr>
                          <w:tbl>
                            <w:tblPr>
                              <w:tblW w:w="4916" w:type="dxa"/>
                              <w:tblBorders>
                                <w:top w:val="single" w:sz="18" w:space="0" w:color="FFFFFF"/>
                                <w:bottom w:val="single" w:sz="18" w:space="0" w:color="FFFFFF"/>
                              </w:tblBorders>
                              <w:shd w:val="clear" w:color="auto" w:fill="FFFFFF"/>
                              <w:tblCellMar>
                                <w:top w:w="85" w:type="dxa"/>
                                <w:left w:w="0" w:type="dxa"/>
                                <w:right w:w="0" w:type="dxa"/>
                              </w:tblCellMar>
                              <w:tblLook w:val="04A0" w:firstRow="1" w:lastRow="0" w:firstColumn="1" w:lastColumn="0" w:noHBand="0" w:noVBand="1"/>
                            </w:tblPr>
                            <w:tblGrid>
                              <w:gridCol w:w="23"/>
                              <w:gridCol w:w="699"/>
                              <w:gridCol w:w="676"/>
                              <w:gridCol w:w="23"/>
                              <w:gridCol w:w="699"/>
                              <w:gridCol w:w="699"/>
                              <w:gridCol w:w="699"/>
                              <w:gridCol w:w="474"/>
                              <w:gridCol w:w="225"/>
                              <w:gridCol w:w="699"/>
                            </w:tblGrid>
                            <w:tr w:rsidR="005B6E23" w:rsidRPr="006F31C1" w14:paraId="262DD0F9" w14:textId="77777777" w:rsidTr="00DD49AB">
                              <w:trPr>
                                <w:trHeight w:val="168"/>
                              </w:trPr>
                              <w:tc>
                                <w:tcPr>
                                  <w:tcW w:w="1398" w:type="dxa"/>
                                  <w:gridSpan w:val="3"/>
                                  <w:shd w:val="clear" w:color="auto" w:fill="auto"/>
                                  <w:vAlign w:val="bottom"/>
                                </w:tcPr>
                                <w:p w14:paraId="2184AA1D" w14:textId="77777777" w:rsidR="005B6E23" w:rsidRPr="006F31C1" w:rsidRDefault="005B6E23" w:rsidP="00543AB0">
                                  <w:pPr>
                                    <w:autoSpaceDE w:val="0"/>
                                    <w:autoSpaceDN w:val="0"/>
                                    <w:adjustRightInd w:val="0"/>
                                    <w:jc w:val="center"/>
                                    <w:rPr>
                                      <w:rFonts w:cs="Arial"/>
                                      <w:b/>
                                      <w:i/>
                                      <w:color w:val="006747"/>
                                      <w:sz w:val="16"/>
                                      <w:szCs w:val="16"/>
                                    </w:rPr>
                                  </w:pPr>
                                  <w:r w:rsidRPr="006F31C1">
                                    <w:rPr>
                                      <w:rFonts w:cs="Arial"/>
                                      <w:b/>
                                      <w:i/>
                                      <w:color w:val="006747"/>
                                      <w:sz w:val="16"/>
                                      <w:szCs w:val="16"/>
                                    </w:rPr>
                                    <w:t>Lower Risk</w:t>
                                  </w:r>
                                </w:p>
                              </w:tc>
                              <w:tc>
                                <w:tcPr>
                                  <w:tcW w:w="20" w:type="dxa"/>
                                  <w:shd w:val="clear" w:color="auto" w:fill="auto"/>
                                  <w:vAlign w:val="bottom"/>
                                </w:tcPr>
                                <w:p w14:paraId="797EDF04" w14:textId="77777777" w:rsidR="005B6E23" w:rsidRPr="006F31C1" w:rsidRDefault="005B6E23" w:rsidP="00543AB0">
                                  <w:pPr>
                                    <w:autoSpaceDE w:val="0"/>
                                    <w:autoSpaceDN w:val="0"/>
                                    <w:adjustRightInd w:val="0"/>
                                    <w:jc w:val="center"/>
                                    <w:rPr>
                                      <w:rFonts w:cs="Arial"/>
                                      <w:b/>
                                      <w:i/>
                                      <w:color w:val="8C8984"/>
                                      <w:sz w:val="16"/>
                                      <w:szCs w:val="16"/>
                                    </w:rPr>
                                  </w:pPr>
                                </w:p>
                              </w:tc>
                              <w:tc>
                                <w:tcPr>
                                  <w:tcW w:w="699" w:type="dxa"/>
                                  <w:shd w:val="clear" w:color="auto" w:fill="auto"/>
                                  <w:vAlign w:val="bottom"/>
                                </w:tcPr>
                                <w:p w14:paraId="133E9D68" w14:textId="77777777" w:rsidR="005B6E23" w:rsidRPr="006F31C1" w:rsidRDefault="005B6E23" w:rsidP="00543AB0">
                                  <w:pPr>
                                    <w:autoSpaceDE w:val="0"/>
                                    <w:autoSpaceDN w:val="0"/>
                                    <w:adjustRightInd w:val="0"/>
                                    <w:jc w:val="center"/>
                                    <w:rPr>
                                      <w:rFonts w:cs="Arial"/>
                                      <w:i/>
                                      <w:color w:val="8C8984"/>
                                      <w:sz w:val="16"/>
                                      <w:szCs w:val="16"/>
                                    </w:rPr>
                                  </w:pPr>
                                </w:p>
                              </w:tc>
                              <w:tc>
                                <w:tcPr>
                                  <w:tcW w:w="699" w:type="dxa"/>
                                  <w:shd w:val="clear" w:color="auto" w:fill="auto"/>
                                  <w:vAlign w:val="bottom"/>
                                </w:tcPr>
                                <w:p w14:paraId="6429697C" w14:textId="77777777" w:rsidR="005B6E23" w:rsidRPr="006F31C1" w:rsidRDefault="005B6E23" w:rsidP="00543AB0">
                                  <w:pPr>
                                    <w:autoSpaceDE w:val="0"/>
                                    <w:autoSpaceDN w:val="0"/>
                                    <w:adjustRightInd w:val="0"/>
                                    <w:jc w:val="center"/>
                                    <w:rPr>
                                      <w:rFonts w:cs="Arial"/>
                                      <w:i/>
                                      <w:color w:val="8C8984"/>
                                      <w:sz w:val="16"/>
                                      <w:szCs w:val="16"/>
                                    </w:rPr>
                                  </w:pPr>
                                </w:p>
                              </w:tc>
                              <w:tc>
                                <w:tcPr>
                                  <w:tcW w:w="699" w:type="dxa"/>
                                  <w:shd w:val="clear" w:color="auto" w:fill="auto"/>
                                  <w:vAlign w:val="bottom"/>
                                </w:tcPr>
                                <w:p w14:paraId="23C0978F" w14:textId="77777777" w:rsidR="005B6E23" w:rsidRPr="006F31C1" w:rsidRDefault="005B6E23" w:rsidP="00543AB0">
                                  <w:pPr>
                                    <w:autoSpaceDE w:val="0"/>
                                    <w:autoSpaceDN w:val="0"/>
                                    <w:adjustRightInd w:val="0"/>
                                    <w:jc w:val="center"/>
                                    <w:rPr>
                                      <w:rFonts w:cs="Arial"/>
                                      <w:i/>
                                      <w:color w:val="8C8984"/>
                                      <w:sz w:val="16"/>
                                      <w:szCs w:val="16"/>
                                    </w:rPr>
                                  </w:pPr>
                                </w:p>
                              </w:tc>
                              <w:tc>
                                <w:tcPr>
                                  <w:tcW w:w="474" w:type="dxa"/>
                                  <w:shd w:val="clear" w:color="auto" w:fill="auto"/>
                                  <w:vAlign w:val="bottom"/>
                                </w:tcPr>
                                <w:p w14:paraId="2E8316CD" w14:textId="77777777" w:rsidR="005B6E23" w:rsidRPr="006F31C1" w:rsidRDefault="005B6E23" w:rsidP="00543AB0">
                                  <w:pPr>
                                    <w:autoSpaceDE w:val="0"/>
                                    <w:autoSpaceDN w:val="0"/>
                                    <w:adjustRightInd w:val="0"/>
                                    <w:jc w:val="center"/>
                                    <w:rPr>
                                      <w:rFonts w:cs="Arial"/>
                                      <w:i/>
                                      <w:color w:val="8C8984"/>
                                      <w:sz w:val="16"/>
                                      <w:szCs w:val="16"/>
                                    </w:rPr>
                                  </w:pPr>
                                </w:p>
                              </w:tc>
                              <w:tc>
                                <w:tcPr>
                                  <w:tcW w:w="924" w:type="dxa"/>
                                  <w:gridSpan w:val="2"/>
                                  <w:shd w:val="clear" w:color="auto" w:fill="auto"/>
                                  <w:vAlign w:val="bottom"/>
                                </w:tcPr>
                                <w:p w14:paraId="760E85BE" w14:textId="77777777" w:rsidR="005B6E23" w:rsidRPr="006F31C1" w:rsidRDefault="005B6E23" w:rsidP="00543AB0">
                                  <w:pPr>
                                    <w:autoSpaceDE w:val="0"/>
                                    <w:autoSpaceDN w:val="0"/>
                                    <w:adjustRightInd w:val="0"/>
                                    <w:jc w:val="center"/>
                                    <w:rPr>
                                      <w:rFonts w:cs="Arial"/>
                                      <w:b/>
                                      <w:i/>
                                      <w:color w:val="006747"/>
                                      <w:sz w:val="16"/>
                                      <w:szCs w:val="16"/>
                                    </w:rPr>
                                  </w:pPr>
                                  <w:r w:rsidRPr="006F31C1">
                                    <w:rPr>
                                      <w:rFonts w:cs="Arial"/>
                                      <w:b/>
                                      <w:i/>
                                      <w:color w:val="006747"/>
                                      <w:sz w:val="16"/>
                                      <w:szCs w:val="16"/>
                                    </w:rPr>
                                    <w:t>Higher Risk</w:t>
                                  </w:r>
                                </w:p>
                              </w:tc>
                            </w:tr>
                            <w:tr w:rsidR="005B6E23" w:rsidRPr="006F31C1" w14:paraId="7E4321A5" w14:textId="77777777" w:rsidTr="00DD49AB">
                              <w:trPr>
                                <w:trHeight w:val="20"/>
                              </w:trPr>
                              <w:tc>
                                <w:tcPr>
                                  <w:tcW w:w="2117" w:type="dxa"/>
                                  <w:gridSpan w:val="5"/>
                                  <w:shd w:val="clear" w:color="auto" w:fill="auto"/>
                                  <w:vAlign w:val="bottom"/>
                                </w:tcPr>
                                <w:p w14:paraId="46B6992D" w14:textId="77777777" w:rsidR="005B6E23" w:rsidRPr="006F31C1" w:rsidRDefault="005B6E23" w:rsidP="00543AB0">
                                  <w:pPr>
                                    <w:autoSpaceDE w:val="0"/>
                                    <w:autoSpaceDN w:val="0"/>
                                    <w:adjustRightInd w:val="0"/>
                                    <w:jc w:val="center"/>
                                    <w:rPr>
                                      <w:rFonts w:cs="Arial"/>
                                      <w:b/>
                                      <w:i/>
                                      <w:color w:val="006747"/>
                                      <w:sz w:val="10"/>
                                      <w:szCs w:val="10"/>
                                    </w:rPr>
                                  </w:pPr>
                                </w:p>
                                <w:p w14:paraId="661F4071" w14:textId="77777777" w:rsidR="005B6E23" w:rsidRPr="006F31C1" w:rsidRDefault="005B6E23" w:rsidP="00543AB0">
                                  <w:pPr>
                                    <w:autoSpaceDE w:val="0"/>
                                    <w:autoSpaceDN w:val="0"/>
                                    <w:adjustRightInd w:val="0"/>
                                    <w:jc w:val="center"/>
                                    <w:rPr>
                                      <w:rFonts w:cs="Arial"/>
                                      <w:i/>
                                      <w:color w:val="8C8984"/>
                                      <w:sz w:val="16"/>
                                      <w:szCs w:val="16"/>
                                    </w:rPr>
                                  </w:pPr>
                                  <w:r w:rsidRPr="006F31C1">
                                    <w:rPr>
                                      <w:rFonts w:cs="Arial"/>
                                      <w:b/>
                                      <w:i/>
                                      <w:color w:val="006747"/>
                                      <w:sz w:val="16"/>
                                      <w:szCs w:val="16"/>
                                    </w:rPr>
                                    <w:t>Typically lower rewards</w:t>
                                  </w:r>
                                </w:p>
                              </w:tc>
                              <w:tc>
                                <w:tcPr>
                                  <w:tcW w:w="699" w:type="dxa"/>
                                  <w:shd w:val="clear" w:color="auto" w:fill="auto"/>
                                  <w:vAlign w:val="bottom"/>
                                </w:tcPr>
                                <w:p w14:paraId="57F81ADF" w14:textId="77777777" w:rsidR="005B6E23" w:rsidRPr="006F31C1" w:rsidRDefault="005B6E23" w:rsidP="00543AB0">
                                  <w:pPr>
                                    <w:autoSpaceDE w:val="0"/>
                                    <w:autoSpaceDN w:val="0"/>
                                    <w:adjustRightInd w:val="0"/>
                                    <w:jc w:val="center"/>
                                    <w:rPr>
                                      <w:rFonts w:cs="Arial"/>
                                      <w:i/>
                                      <w:color w:val="8C8984"/>
                                      <w:sz w:val="16"/>
                                      <w:szCs w:val="16"/>
                                    </w:rPr>
                                  </w:pPr>
                                </w:p>
                              </w:tc>
                              <w:tc>
                                <w:tcPr>
                                  <w:tcW w:w="2097" w:type="dxa"/>
                                  <w:gridSpan w:val="4"/>
                                  <w:shd w:val="clear" w:color="auto" w:fill="auto"/>
                                  <w:vAlign w:val="bottom"/>
                                </w:tcPr>
                                <w:p w14:paraId="642BC576" w14:textId="77777777" w:rsidR="005B6E23" w:rsidRPr="006F31C1" w:rsidRDefault="005B6E23" w:rsidP="00543AB0">
                                  <w:pPr>
                                    <w:autoSpaceDE w:val="0"/>
                                    <w:autoSpaceDN w:val="0"/>
                                    <w:adjustRightInd w:val="0"/>
                                    <w:jc w:val="center"/>
                                    <w:rPr>
                                      <w:rFonts w:cs="Arial"/>
                                      <w:b/>
                                      <w:i/>
                                      <w:color w:val="006747"/>
                                      <w:sz w:val="16"/>
                                      <w:szCs w:val="16"/>
                                    </w:rPr>
                                  </w:pPr>
                                  <w:r w:rsidRPr="006F31C1">
                                    <w:rPr>
                                      <w:rFonts w:cs="Arial"/>
                                      <w:b/>
                                      <w:i/>
                                      <w:color w:val="006747"/>
                                      <w:sz w:val="16"/>
                                      <w:szCs w:val="16"/>
                                    </w:rPr>
                                    <w:t>Typically higher rewards</w:t>
                                  </w:r>
                                </w:p>
                              </w:tc>
                            </w:tr>
                            <w:tr w:rsidR="005B6E23" w:rsidRPr="006F31C1" w14:paraId="1BFF7AA0" w14:textId="77777777" w:rsidTr="00DD49AB">
                              <w:tblPrEx>
                                <w:tblBorders>
                                  <w:top w:val="none" w:sz="0" w:space="0" w:color="auto"/>
                                  <w:bottom w:val="none" w:sz="0" w:space="0" w:color="auto"/>
                                  <w:insideV w:val="single" w:sz="12" w:space="0" w:color="5696BC"/>
                                </w:tblBorders>
                              </w:tblPrEx>
                              <w:trPr>
                                <w:gridBefore w:val="1"/>
                                <w:wBefore w:w="23" w:type="dxa"/>
                                <w:trHeight w:val="402"/>
                              </w:trPr>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706EB8B7" w14:textId="77777777" w:rsidR="005B6E23" w:rsidRPr="006F31C1" w:rsidRDefault="005B6E23" w:rsidP="00543AB0">
                                  <w:pPr>
                                    <w:autoSpaceDE w:val="0"/>
                                    <w:autoSpaceDN w:val="0"/>
                                    <w:adjustRightInd w:val="0"/>
                                    <w:spacing w:before="80" w:after="60"/>
                                    <w:jc w:val="center"/>
                                    <w:rPr>
                                      <w:rFonts w:cs="Arial"/>
                                      <w:b/>
                                      <w:color w:val="006747"/>
                                      <w:szCs w:val="16"/>
                                    </w:rPr>
                                  </w:pPr>
                                  <w:r w:rsidRPr="006F31C1">
                                    <w:rPr>
                                      <w:rFonts w:cs="Arial"/>
                                      <w:b/>
                                      <w:color w:val="006747"/>
                                      <w:szCs w:val="16"/>
                                    </w:rPr>
                                    <w:t>1</w:t>
                                  </w:r>
                                </w:p>
                              </w:tc>
                              <w:tc>
                                <w:tcPr>
                                  <w:tcW w:w="699" w:type="dxa"/>
                                  <w:gridSpan w:val="2"/>
                                  <w:tcBorders>
                                    <w:top w:val="single" w:sz="18" w:space="0" w:color="FFFFFF"/>
                                    <w:left w:val="single" w:sz="18" w:space="0" w:color="FFFFFF"/>
                                    <w:bottom w:val="single" w:sz="18" w:space="0" w:color="FFFFFF"/>
                                    <w:right w:val="single" w:sz="18" w:space="0" w:color="FFFFFF"/>
                                  </w:tcBorders>
                                  <w:shd w:val="clear" w:color="auto" w:fill="CCE1DA"/>
                                  <w:vAlign w:val="center"/>
                                </w:tcPr>
                                <w:p w14:paraId="62B13565" w14:textId="77777777" w:rsidR="005B6E23" w:rsidRPr="006F31C1" w:rsidRDefault="005B6E23" w:rsidP="00543AB0">
                                  <w:pPr>
                                    <w:autoSpaceDE w:val="0"/>
                                    <w:autoSpaceDN w:val="0"/>
                                    <w:adjustRightInd w:val="0"/>
                                    <w:spacing w:before="80" w:after="60"/>
                                    <w:jc w:val="center"/>
                                    <w:rPr>
                                      <w:rFonts w:cs="Arial"/>
                                      <w:b/>
                                      <w:color w:val="006747"/>
                                      <w:szCs w:val="16"/>
                                    </w:rPr>
                                  </w:pPr>
                                  <w:r w:rsidRPr="006F31C1">
                                    <w:rPr>
                                      <w:rFonts w:cs="Arial"/>
                                      <w:b/>
                                      <w:color w:val="006747"/>
                                      <w:szCs w:val="16"/>
                                    </w:rPr>
                                    <w:t>2</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435A59B4" w14:textId="77777777" w:rsidR="005B6E23" w:rsidRPr="006F31C1" w:rsidRDefault="005B6E23" w:rsidP="00543AB0">
                                  <w:pPr>
                                    <w:autoSpaceDE w:val="0"/>
                                    <w:autoSpaceDN w:val="0"/>
                                    <w:adjustRightInd w:val="0"/>
                                    <w:spacing w:before="80" w:after="60"/>
                                    <w:jc w:val="center"/>
                                    <w:rPr>
                                      <w:rFonts w:cs="Arial"/>
                                      <w:b/>
                                      <w:color w:val="006747"/>
                                      <w:szCs w:val="16"/>
                                    </w:rPr>
                                  </w:pPr>
                                  <w:r w:rsidRPr="006F31C1">
                                    <w:rPr>
                                      <w:rFonts w:cs="Arial"/>
                                      <w:b/>
                                      <w:color w:val="006747"/>
                                      <w:szCs w:val="16"/>
                                    </w:rPr>
                                    <w:t>3</w:t>
                                  </w:r>
                                </w:p>
                              </w:tc>
                              <w:tc>
                                <w:tcPr>
                                  <w:tcW w:w="699" w:type="dxa"/>
                                  <w:tcBorders>
                                    <w:top w:val="single" w:sz="18" w:space="0" w:color="FFFFFF"/>
                                    <w:left w:val="single" w:sz="18" w:space="0" w:color="FFFFFF"/>
                                    <w:bottom w:val="single" w:sz="18" w:space="0" w:color="FFFFFF"/>
                                    <w:right w:val="single" w:sz="18" w:space="0" w:color="FFFFFF"/>
                                  </w:tcBorders>
                                  <w:shd w:val="clear" w:color="auto" w:fill="006747"/>
                                  <w:vAlign w:val="center"/>
                                </w:tcPr>
                                <w:p w14:paraId="7C302B73" w14:textId="77777777" w:rsidR="005B6E23" w:rsidRPr="006F31C1" w:rsidRDefault="005B6E23" w:rsidP="00543AB0">
                                  <w:pPr>
                                    <w:autoSpaceDE w:val="0"/>
                                    <w:autoSpaceDN w:val="0"/>
                                    <w:adjustRightInd w:val="0"/>
                                    <w:spacing w:before="80" w:after="60"/>
                                    <w:jc w:val="center"/>
                                    <w:rPr>
                                      <w:rFonts w:cs="Arial"/>
                                      <w:b/>
                                      <w:color w:val="FFFFFF"/>
                                      <w:szCs w:val="16"/>
                                    </w:rPr>
                                  </w:pPr>
                                  <w:r w:rsidRPr="006F31C1">
                                    <w:rPr>
                                      <w:rFonts w:cs="Arial"/>
                                      <w:b/>
                                      <w:color w:val="FFFFFF"/>
                                      <w:szCs w:val="16"/>
                                    </w:rPr>
                                    <w:t>4</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EFFCB8B" w14:textId="77777777" w:rsidR="005B6E23" w:rsidRPr="006F31C1" w:rsidRDefault="005B6E23" w:rsidP="00543AB0">
                                  <w:pPr>
                                    <w:autoSpaceDE w:val="0"/>
                                    <w:autoSpaceDN w:val="0"/>
                                    <w:adjustRightInd w:val="0"/>
                                    <w:spacing w:before="80" w:after="60"/>
                                    <w:jc w:val="center"/>
                                    <w:rPr>
                                      <w:rFonts w:cs="Arial"/>
                                      <w:b/>
                                      <w:color w:val="006747"/>
                                      <w:szCs w:val="16"/>
                                    </w:rPr>
                                  </w:pPr>
                                  <w:r w:rsidRPr="006F31C1">
                                    <w:rPr>
                                      <w:rFonts w:cs="Arial"/>
                                      <w:b/>
                                      <w:color w:val="006747"/>
                                      <w:szCs w:val="16"/>
                                    </w:rPr>
                                    <w:t>5</w:t>
                                  </w:r>
                                </w:p>
                              </w:tc>
                              <w:tc>
                                <w:tcPr>
                                  <w:tcW w:w="699" w:type="dxa"/>
                                  <w:gridSpan w:val="2"/>
                                  <w:tcBorders>
                                    <w:top w:val="single" w:sz="18" w:space="0" w:color="FFFFFF"/>
                                    <w:left w:val="single" w:sz="18" w:space="0" w:color="FFFFFF"/>
                                    <w:bottom w:val="single" w:sz="18" w:space="0" w:color="FFFFFF"/>
                                    <w:right w:val="single" w:sz="18" w:space="0" w:color="FFFFFF"/>
                                  </w:tcBorders>
                                  <w:shd w:val="clear" w:color="auto" w:fill="CCE1DA"/>
                                  <w:vAlign w:val="center"/>
                                </w:tcPr>
                                <w:p w14:paraId="16307B93" w14:textId="77777777" w:rsidR="005B6E23" w:rsidRPr="006F31C1" w:rsidRDefault="005B6E23" w:rsidP="00543AB0">
                                  <w:pPr>
                                    <w:autoSpaceDE w:val="0"/>
                                    <w:autoSpaceDN w:val="0"/>
                                    <w:adjustRightInd w:val="0"/>
                                    <w:spacing w:before="80" w:after="60"/>
                                    <w:jc w:val="center"/>
                                    <w:rPr>
                                      <w:rFonts w:cs="Arial"/>
                                      <w:b/>
                                      <w:color w:val="006747"/>
                                      <w:szCs w:val="16"/>
                                    </w:rPr>
                                  </w:pPr>
                                  <w:r w:rsidRPr="006F31C1">
                                    <w:rPr>
                                      <w:rFonts w:cs="Arial"/>
                                      <w:b/>
                                      <w:color w:val="006747"/>
                                      <w:szCs w:val="16"/>
                                    </w:rPr>
                                    <w:t>6</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D017557" w14:textId="77777777" w:rsidR="005B6E23" w:rsidRPr="006F31C1" w:rsidRDefault="005B6E23" w:rsidP="00543AB0">
                                  <w:pPr>
                                    <w:autoSpaceDE w:val="0"/>
                                    <w:autoSpaceDN w:val="0"/>
                                    <w:adjustRightInd w:val="0"/>
                                    <w:spacing w:before="80" w:after="60"/>
                                    <w:jc w:val="center"/>
                                    <w:rPr>
                                      <w:rFonts w:cs="Arial"/>
                                      <w:b/>
                                      <w:color w:val="006747"/>
                                      <w:szCs w:val="16"/>
                                    </w:rPr>
                                  </w:pPr>
                                  <w:r w:rsidRPr="006F31C1">
                                    <w:rPr>
                                      <w:rFonts w:cs="Arial"/>
                                      <w:b/>
                                      <w:color w:val="006747"/>
                                      <w:szCs w:val="16"/>
                                    </w:rPr>
                                    <w:t>7</w:t>
                                  </w:r>
                                </w:p>
                              </w:tc>
                            </w:tr>
                          </w:tbl>
                          <w:p w14:paraId="331014CE" w14:textId="77777777" w:rsidR="005B6E23" w:rsidRPr="00543AB0" w:rsidRDefault="005B6E23" w:rsidP="00543AB0">
                            <w:pPr>
                              <w:tabs>
                                <w:tab w:val="left" w:pos="2268"/>
                              </w:tabs>
                              <w:autoSpaceDE w:val="0"/>
                              <w:autoSpaceDN w:val="0"/>
                              <w:adjustRightInd w:val="0"/>
                              <w:spacing w:before="80" w:after="60"/>
                              <w:rPr>
                                <w:rFonts w:ascii="Gill Sans MT" w:hAnsi="Gill Sans MT"/>
                                <w:color w:val="FFFFFF"/>
                                <w:sz w:val="16"/>
                                <w:szCs w:val="16"/>
                              </w:rPr>
                            </w:pPr>
                          </w:p>
                        </w:tc>
                      </w:tr>
                    </w:tbl>
                    <w:p w14:paraId="21D7440D" w14:textId="29CAFF77" w:rsidR="00EC7D6F" w:rsidRPr="00EC7D6F" w:rsidRDefault="00EC7D6F" w:rsidP="00EC7D6F">
                      <w:pPr>
                        <w:pStyle w:val="KIIDtext1"/>
                        <w:rPr>
                          <w:sz w:val="17"/>
                          <w:lang w:val="en-GB"/>
                        </w:rPr>
                      </w:pPr>
                      <w:r w:rsidRPr="00EC7D6F">
                        <w:rPr>
                          <w:sz w:val="17"/>
                          <w:lang w:val="en-GB"/>
                        </w:rPr>
                        <w:t xml:space="preserve">The Fund is categorised as a 4 for the purposes of this table due to its investments in convertible bonds and use of </w:t>
                      </w:r>
                      <w:r w:rsidR="001D71A7">
                        <w:rPr>
                          <w:sz w:val="17"/>
                          <w:lang w:val="en-GB"/>
                        </w:rPr>
                        <w:t>FDIs</w:t>
                      </w:r>
                      <w:r w:rsidRPr="00EC7D6F">
                        <w:rPr>
                          <w:sz w:val="17"/>
                          <w:lang w:val="en-GB"/>
                        </w:rPr>
                        <w:t>.</w:t>
                      </w:r>
                      <w:r>
                        <w:rPr>
                          <w:sz w:val="17"/>
                          <w:lang w:val="en-GB"/>
                        </w:rPr>
                        <w:t xml:space="preserve"> </w:t>
                      </w:r>
                      <w:r w:rsidRPr="00EC7D6F">
                        <w:rPr>
                          <w:sz w:val="17"/>
                          <w:lang w:val="en-GB"/>
                        </w:rPr>
                        <w:t>This means that the Fund’s risk is normally higher than that of fixed income instruments but lower than that of equity instruments.</w:t>
                      </w:r>
                    </w:p>
                    <w:p w14:paraId="5A5A5B79" w14:textId="77777777" w:rsidR="00EC7D6F" w:rsidRPr="00EC7D6F" w:rsidRDefault="00EC7D6F" w:rsidP="00EC7D6F">
                      <w:pPr>
                        <w:pStyle w:val="KIIDtext1"/>
                        <w:rPr>
                          <w:sz w:val="17"/>
                          <w:lang w:val="en-GB"/>
                        </w:rPr>
                      </w:pPr>
                      <w:r w:rsidRPr="00EC7D6F">
                        <w:rPr>
                          <w:sz w:val="17"/>
                          <w:lang w:val="en-GB"/>
                        </w:rPr>
                        <w:t>Like convertible bond and equity markets, the Fund may experience downward price movements from time to time. While the Fund seeks to reduce risk by investing in a diversified range of assets, such diversification does not eliminate risk.</w:t>
                      </w:r>
                    </w:p>
                    <w:p w14:paraId="57740600" w14:textId="6BB74986" w:rsidR="00EC7D6F" w:rsidRPr="00EC7D6F" w:rsidRDefault="00EC7D6F" w:rsidP="00EC7D6F">
                      <w:pPr>
                        <w:pStyle w:val="KIIDtext1"/>
                        <w:rPr>
                          <w:sz w:val="17"/>
                          <w:lang w:val="en-GB"/>
                        </w:rPr>
                      </w:pPr>
                      <w:r w:rsidRPr="00EC7D6F">
                        <w:rPr>
                          <w:sz w:val="17"/>
                          <w:lang w:val="en-GB"/>
                        </w:rPr>
                        <w:t xml:space="preserve">The risk and reward indicator </w:t>
                      </w:r>
                      <w:r w:rsidR="000934DB">
                        <w:rPr>
                          <w:sz w:val="17"/>
                          <w:lang w:val="en-GB"/>
                        </w:rPr>
                        <w:t>has been</w:t>
                      </w:r>
                      <w:r w:rsidR="000934DB" w:rsidRPr="00EC7D6F">
                        <w:rPr>
                          <w:sz w:val="17"/>
                          <w:lang w:val="en-GB"/>
                        </w:rPr>
                        <w:t xml:space="preserve"> </w:t>
                      </w:r>
                      <w:r w:rsidRPr="00EC7D6F">
                        <w:rPr>
                          <w:sz w:val="17"/>
                          <w:lang w:val="en-GB"/>
                        </w:rPr>
                        <w:t>calculated using historic data and may not be a reliable indication of the future profile of the Fund.</w:t>
                      </w:r>
                    </w:p>
                    <w:p w14:paraId="19170E10" w14:textId="2D64FA7C" w:rsidR="00EC7D6F" w:rsidRPr="00EC7D6F" w:rsidRDefault="00EC7D6F" w:rsidP="00EC7D6F">
                      <w:pPr>
                        <w:pStyle w:val="KIIDtext1"/>
                        <w:rPr>
                          <w:sz w:val="17"/>
                          <w:lang w:val="en-GB"/>
                        </w:rPr>
                      </w:pPr>
                      <w:r w:rsidRPr="00EC7D6F">
                        <w:rPr>
                          <w:sz w:val="17"/>
                          <w:lang w:val="en-GB"/>
                        </w:rPr>
                        <w:t xml:space="preserve">The risk and reward category shown above is not guaranteed and may move up or down over time. The lowest category does not mean </w:t>
                      </w:r>
                      <w:r w:rsidR="000934DB">
                        <w:rPr>
                          <w:sz w:val="17"/>
                          <w:lang w:val="en-GB"/>
                        </w:rPr>
                        <w:t xml:space="preserve">a </w:t>
                      </w:r>
                      <w:r w:rsidRPr="00EC7D6F">
                        <w:rPr>
                          <w:sz w:val="17"/>
                          <w:lang w:val="en-GB"/>
                        </w:rPr>
                        <w:t>risk free</w:t>
                      </w:r>
                      <w:r w:rsidR="000934DB">
                        <w:rPr>
                          <w:sz w:val="17"/>
                          <w:lang w:val="en-GB"/>
                        </w:rPr>
                        <w:t xml:space="preserve"> investment</w:t>
                      </w:r>
                      <w:r w:rsidRPr="00EC7D6F">
                        <w:rPr>
                          <w:sz w:val="17"/>
                          <w:lang w:val="en-GB"/>
                        </w:rPr>
                        <w:t>.</w:t>
                      </w:r>
                    </w:p>
                    <w:p w14:paraId="4F759B39" w14:textId="7C72D361" w:rsidR="00491D9D" w:rsidRDefault="00EC7D6F" w:rsidP="005B6E23">
                      <w:pPr>
                        <w:pStyle w:val="KIIDtext1"/>
                        <w:rPr>
                          <w:sz w:val="17"/>
                          <w:lang w:val="en-GB"/>
                        </w:rPr>
                      </w:pPr>
                      <w:r w:rsidRPr="00EC7D6F">
                        <w:rPr>
                          <w:sz w:val="17"/>
                          <w:lang w:val="en-GB"/>
                        </w:rPr>
                        <w:t>The Fund price may fall as well as rise and as a result you may not get back the original amount you invested.</w:t>
                      </w:r>
                    </w:p>
                    <w:p w14:paraId="5E146FE5" w14:textId="77777777" w:rsidR="00EC7D6F" w:rsidRPr="00EC7D6F" w:rsidRDefault="00EC7D6F" w:rsidP="00EC7D6F">
                      <w:pPr>
                        <w:pStyle w:val="KIIDtext1"/>
                        <w:rPr>
                          <w:rFonts w:cs="Arial"/>
                          <w:b/>
                          <w:sz w:val="17"/>
                          <w:lang w:val="en-GB"/>
                        </w:rPr>
                      </w:pPr>
                      <w:r w:rsidRPr="00EC7D6F">
                        <w:rPr>
                          <w:rFonts w:cs="Arial"/>
                          <w:b/>
                          <w:sz w:val="17"/>
                          <w:lang w:val="en-GB"/>
                        </w:rPr>
                        <w:t>Other Material Risks</w:t>
                      </w:r>
                    </w:p>
                    <w:p w14:paraId="51158BAB" w14:textId="718C9CF4" w:rsidR="00EC7D6F" w:rsidRDefault="00EC7D6F" w:rsidP="00EC7D6F">
                      <w:pPr>
                        <w:pStyle w:val="KIIDtext1"/>
                        <w:numPr>
                          <w:ilvl w:val="0"/>
                          <w:numId w:val="5"/>
                        </w:numPr>
                        <w:rPr>
                          <w:rFonts w:cs="Arial"/>
                          <w:sz w:val="17"/>
                          <w:lang w:val="en-GB"/>
                        </w:rPr>
                      </w:pPr>
                      <w:r w:rsidRPr="00C92E59">
                        <w:rPr>
                          <w:rFonts w:cs="Arial"/>
                          <w:b/>
                          <w:bCs/>
                          <w:sz w:val="17"/>
                          <w:lang w:val="en-GB"/>
                        </w:rPr>
                        <w:t>Credit/Counterparty risk</w:t>
                      </w:r>
                      <w:r w:rsidRPr="00EC7D6F">
                        <w:rPr>
                          <w:rFonts w:cs="Arial"/>
                          <w:sz w:val="17"/>
                          <w:lang w:val="en-GB"/>
                        </w:rPr>
                        <w:t xml:space="preserve">: </w:t>
                      </w:r>
                      <w:r w:rsidR="00182EA0">
                        <w:rPr>
                          <w:rFonts w:cs="Arial"/>
                          <w:sz w:val="17"/>
                          <w:lang w:val="en-GB"/>
                        </w:rPr>
                        <w:t>A</w:t>
                      </w:r>
                      <w:r w:rsidRPr="00EC7D6F">
                        <w:rPr>
                          <w:rFonts w:cs="Arial"/>
                          <w:sz w:val="17"/>
                          <w:lang w:val="en-GB"/>
                        </w:rPr>
                        <w:t xml:space="preserve"> party or issuer that the Fund transacts with may fail to meet its obligations which could cause losses.</w:t>
                      </w:r>
                    </w:p>
                    <w:p w14:paraId="5C2434DC" w14:textId="77777777" w:rsidR="00EC7D6F" w:rsidRPr="00EC7D6F" w:rsidRDefault="00EC7D6F" w:rsidP="005B6E23">
                      <w:pPr>
                        <w:pStyle w:val="KIIDtext1"/>
                        <w:rPr>
                          <w:sz w:val="17"/>
                          <w:lang w:val="en-GB"/>
                        </w:rPr>
                      </w:pPr>
                    </w:p>
                  </w:txbxContent>
                </v:textbox>
              </v:shape>
            </w:pict>
          </mc:Fallback>
        </mc:AlternateContent>
      </w:r>
      <w:r w:rsidR="005D7124">
        <w:rPr>
          <w:noProof/>
          <w:lang w:val="en-GB" w:eastAsia="en-GB"/>
        </w:rPr>
        <mc:AlternateContent>
          <mc:Choice Requires="wps">
            <w:drawing>
              <wp:anchor distT="0" distB="0" distL="114300" distR="114300" simplePos="0" relativeHeight="251670528" behindDoc="0" locked="0" layoutInCell="1" allowOverlap="1" wp14:anchorId="00B1B62C" wp14:editId="2E6C3F9A">
                <wp:simplePos x="0" y="0"/>
                <wp:positionH relativeFrom="column">
                  <wp:posOffset>-561340</wp:posOffset>
                </wp:positionH>
                <wp:positionV relativeFrom="paragraph">
                  <wp:posOffset>4437380</wp:posOffset>
                </wp:positionV>
                <wp:extent cx="3204210" cy="958215"/>
                <wp:effectExtent l="0" t="0" r="15240" b="13335"/>
                <wp:wrapNone/>
                <wp:docPr id="20"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4210" cy="958215"/>
                        </a:xfrm>
                        <a:prstGeom prst="rect">
                          <a:avLst/>
                        </a:prstGeom>
                        <a:noFill/>
                        <a:ln w="9525">
                          <a:solidFill>
                            <a:srgbClr val="006747"/>
                          </a:solidFill>
                          <a:miter lim="800000"/>
                          <a:headEnd/>
                          <a:tailEnd/>
                        </a:ln>
                        <a:extLst>
                          <a:ext uri="{909E8E84-426E-40DD-AFC4-6F175D3DCCD1}">
                            <a14:hiddenFill xmlns:a14="http://schemas.microsoft.com/office/drawing/2010/main">
                              <a:solidFill>
                                <a:srgbClr val="FFFFFF"/>
                              </a:solidFill>
                            </a14:hiddenFill>
                          </a:ext>
                        </a:extLst>
                      </wps:spPr>
                      <wps:txbx>
                        <w:txbxContent>
                          <w:p w14:paraId="761AD6B8" w14:textId="77777777" w:rsidR="005B6E23" w:rsidRDefault="005B6E23" w:rsidP="005B6E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1B62C" id="Rectangle 131" o:spid="_x0000_s1032" style="position:absolute;margin-left:-44.2pt;margin-top:349.4pt;width:252.3pt;height:75.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" filled="f" strokecolor="#006747">
                <v:textbox>
                  <w:txbxContent>
                    <w:p w14:paraId="761AD6B8" w14:textId="77777777" w:rsidR="005B6E23" w:rsidRDefault="005B6E23" w:rsidP="005B6E23"/>
                  </w:txbxContent>
                </v:textbox>
              </v:rect>
            </w:pict>
          </mc:Fallback>
        </mc:AlternateContent>
      </w:r>
      <w:r w:rsidR="005D7124">
        <w:rPr>
          <w:noProof/>
          <w:lang w:val="en-GB" w:eastAsia="en-GB"/>
        </w:rPr>
        <mc:AlternateContent>
          <mc:Choice Requires="wps">
            <w:drawing>
              <wp:anchor distT="0" distB="0" distL="114300" distR="114300" simplePos="0" relativeHeight="251667456" behindDoc="0" locked="0" layoutInCell="1" allowOverlap="1" wp14:anchorId="6762F49B" wp14:editId="663E0E57">
                <wp:simplePos x="0" y="0"/>
                <wp:positionH relativeFrom="column">
                  <wp:posOffset>-610235</wp:posOffset>
                </wp:positionH>
                <wp:positionV relativeFrom="paragraph">
                  <wp:posOffset>4187190</wp:posOffset>
                </wp:positionV>
                <wp:extent cx="3096260" cy="224155"/>
                <wp:effectExtent l="0" t="0" r="8890" b="444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74D446" w14:textId="77777777" w:rsidR="005B6E23" w:rsidRPr="006F31C1" w:rsidRDefault="005B6E23" w:rsidP="005B6E23">
                            <w:pPr>
                              <w:pStyle w:val="BoldSubHead"/>
                              <w:spacing w:before="0"/>
                            </w:pPr>
                            <w:r w:rsidRPr="006F31C1">
                              <w:t>Risk and Reward Profile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62F49B" id="_x0000_s1033" type="#_x0000_t202" style="position:absolute;margin-left:-48.05pt;margin-top:329.7pt;width:243.8pt;height:1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" stroked="f">
                <v:textbox>
                  <w:txbxContent>
                    <w:p w14:paraId="6B74D446" w14:textId="77777777" w:rsidR="005B6E23" w:rsidRPr="006F31C1" w:rsidRDefault="005B6E23" w:rsidP="005B6E23">
                      <w:pPr>
                        <w:pStyle w:val="BoldSubHead"/>
                        <w:spacing w:before="0"/>
                      </w:pPr>
                      <w:r w:rsidRPr="006F31C1">
                        <w:t>Risk and Reward Profile</w:t>
                      </w:r>
                    </w:p>
                  </w:txbxContent>
                </v:textbox>
              </v:shape>
            </w:pict>
          </mc:Fallback>
        </mc:AlternateContent>
      </w:r>
      <w:r w:rsidR="005D7124">
        <w:rPr>
          <w:noProof/>
          <w:color w:val="000000"/>
          <w:lang w:val="en-GB" w:eastAsia="en-GB"/>
        </w:rPr>
        <mc:AlternateContent>
          <mc:Choice Requires="wps">
            <w:drawing>
              <wp:anchor distT="0" distB="0" distL="114300" distR="114300" simplePos="0" relativeHeight="251666432" behindDoc="0" locked="0" layoutInCell="1" allowOverlap="1" wp14:anchorId="1C3FD5D8" wp14:editId="4F66F780">
                <wp:simplePos x="0" y="0"/>
                <wp:positionH relativeFrom="margin">
                  <wp:posOffset>-568960</wp:posOffset>
                </wp:positionH>
                <wp:positionV relativeFrom="paragraph">
                  <wp:posOffset>4108450</wp:posOffset>
                </wp:positionV>
                <wp:extent cx="6696075" cy="8890"/>
                <wp:effectExtent l="0" t="0" r="28575" b="29210"/>
                <wp:wrapNone/>
                <wp:docPr id="23"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8890"/>
                        </a:xfrm>
                        <a:prstGeom prst="straightConnector1">
                          <a:avLst/>
                        </a:prstGeom>
                        <a:noFill/>
                        <a:ln w="9525">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6847A9" id="AutoShape 101" o:spid="_x0000_s1026" type="#_x0000_t32" style="position:absolute;margin-left:-44.8pt;margin-top:323.5pt;width:527.25pt;height:.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" strokecolor="#006747">
                <w10:wrap anchorx="margin"/>
              </v:shape>
            </w:pict>
          </mc:Fallback>
        </mc:AlternateContent>
      </w:r>
      <w:r w:rsidR="005D7124">
        <w:rPr>
          <w:noProof/>
          <w:lang w:val="en-GB" w:eastAsia="en-GB"/>
        </w:rPr>
        <mc:AlternateContent>
          <mc:Choice Requires="wps">
            <w:drawing>
              <wp:anchor distT="0" distB="0" distL="114300" distR="114300" simplePos="0" relativeHeight="251663360" behindDoc="0" locked="0" layoutInCell="1" allowOverlap="1" wp14:anchorId="16C457A2" wp14:editId="56E750FC">
                <wp:simplePos x="0" y="0"/>
                <wp:positionH relativeFrom="column">
                  <wp:posOffset>-681990</wp:posOffset>
                </wp:positionH>
                <wp:positionV relativeFrom="paragraph">
                  <wp:posOffset>1293495</wp:posOffset>
                </wp:positionV>
                <wp:extent cx="3096260" cy="224155"/>
                <wp:effectExtent l="0" t="0" r="8890" b="444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0B738E" w14:textId="77777777" w:rsidR="005B6E23" w:rsidRPr="00831DE1" w:rsidRDefault="005B6E23" w:rsidP="005B6E23">
                            <w:pPr>
                              <w:pStyle w:val="BoldSubHead"/>
                              <w:spacing w:before="0"/>
                              <w:rPr>
                                <w:color w:val="5F5F5F"/>
                                <w:sz w:val="18"/>
                                <w:szCs w:val="18"/>
                              </w:rPr>
                            </w:pPr>
                            <w:r w:rsidRPr="00831DE1">
                              <w:t>Objectives and Investment Policy</w:t>
                            </w:r>
                          </w:p>
                          <w:p w14:paraId="2B5CEB0D" w14:textId="77777777" w:rsidR="005B6E23" w:rsidRPr="00831DE1" w:rsidRDefault="005B6E23" w:rsidP="005B6E23">
                            <w:pPr>
                              <w:shd w:val="clear" w:color="auto" w:fill="FFFFFF"/>
                              <w:tabs>
                                <w:tab w:val="left" w:pos="163"/>
                              </w:tabs>
                              <w:autoSpaceDE w:val="0"/>
                              <w:autoSpaceDN w:val="0"/>
                              <w:adjustRightInd w:val="0"/>
                              <w:spacing w:line="240" w:lineRule="auto"/>
                              <w:rPr>
                                <w:color w:val="5F5F5F"/>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C457A2" id="_x0000_s1034" type="#_x0000_t202" style="position:absolute;margin-left:-53.7pt;margin-top:101.85pt;width:243.8pt;height:1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" stroked="f">
                <v:textbox>
                  <w:txbxContent>
                    <w:p w14:paraId="2D0B738E" w14:textId="77777777" w:rsidR="005B6E23" w:rsidRPr="00831DE1" w:rsidRDefault="005B6E23" w:rsidP="005B6E23">
                      <w:pPr>
                        <w:pStyle w:val="BoldSubHead"/>
                        <w:spacing w:before="0"/>
                        <w:rPr>
                          <w:color w:val="5F5F5F"/>
                          <w:sz w:val="18"/>
                          <w:szCs w:val="18"/>
                        </w:rPr>
                      </w:pPr>
                      <w:r w:rsidRPr="00831DE1">
                        <w:t>Objectives and Investment Policy</w:t>
                      </w:r>
                    </w:p>
                    <w:p w14:paraId="2B5CEB0D" w14:textId="77777777" w:rsidR="005B6E23" w:rsidRPr="00831DE1" w:rsidRDefault="005B6E23" w:rsidP="005B6E23">
                      <w:pPr>
                        <w:shd w:val="clear" w:color="auto" w:fill="FFFFFF"/>
                        <w:tabs>
                          <w:tab w:val="left" w:pos="163"/>
                        </w:tabs>
                        <w:autoSpaceDE w:val="0"/>
                        <w:autoSpaceDN w:val="0"/>
                        <w:adjustRightInd w:val="0"/>
                        <w:spacing w:line="240" w:lineRule="auto"/>
                        <w:rPr>
                          <w:color w:val="5F5F5F"/>
                          <w:sz w:val="18"/>
                          <w:szCs w:val="18"/>
                        </w:rPr>
                      </w:pPr>
                    </w:p>
                  </w:txbxContent>
                </v:textbox>
              </v:shape>
            </w:pict>
          </mc:Fallback>
        </mc:AlternateContent>
      </w:r>
      <w:r w:rsidR="005B6E23">
        <w:rPr>
          <w:noProof/>
          <w:lang w:val="en-GB" w:eastAsia="en-GB"/>
        </w:rPr>
        <mc:AlternateContent>
          <mc:Choice Requires="wps">
            <w:drawing>
              <wp:anchor distT="0" distB="0" distL="114300" distR="114300" simplePos="0" relativeHeight="251672576" behindDoc="0" locked="0" layoutInCell="1" allowOverlap="1" wp14:anchorId="43BF8B85" wp14:editId="26583ACB">
                <wp:simplePos x="0" y="0"/>
                <wp:positionH relativeFrom="column">
                  <wp:posOffset>0</wp:posOffset>
                </wp:positionH>
                <wp:positionV relativeFrom="paragraph">
                  <wp:posOffset>10219690</wp:posOffset>
                </wp:positionV>
                <wp:extent cx="3096260" cy="224155"/>
                <wp:effectExtent l="0" t="0" r="8890" b="444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C00B6A" w14:textId="77777777" w:rsidR="005B6E23" w:rsidRPr="006F31C1" w:rsidRDefault="005B6E23" w:rsidP="005B6E23">
                            <w:pPr>
                              <w:shd w:val="clear" w:color="auto" w:fill="FFFFFF"/>
                              <w:tabs>
                                <w:tab w:val="left" w:pos="163"/>
                              </w:tabs>
                              <w:autoSpaceDE w:val="0"/>
                              <w:autoSpaceDN w:val="0"/>
                              <w:adjustRightInd w:val="0"/>
                              <w:spacing w:line="240" w:lineRule="auto"/>
                              <w:rPr>
                                <w:rFonts w:cs="Arial"/>
                                <w:color w:val="5F5F5F"/>
                                <w:sz w:val="18"/>
                                <w:szCs w:val="18"/>
                              </w:rPr>
                            </w:pPr>
                            <w:r w:rsidRPr="006F31C1">
                              <w:rPr>
                                <w:rFonts w:eastAsia="Calibri" w:cs="Arial"/>
                                <w:b/>
                                <w:bCs/>
                                <w:caps/>
                                <w:color w:val="006747"/>
                                <w:spacing w:val="7"/>
                                <w:sz w:val="21"/>
                                <w:szCs w:val="22"/>
                                <w:lang w:val="en-GB"/>
                              </w:rPr>
                              <w:t>Charges for this Fund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BF8B85" id="_x0000_s1035" type="#_x0000_t202" style="position:absolute;margin-left:0;margin-top:804.7pt;width:243.8pt;height:1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" stroked="f">
                <v:textbox>
                  <w:txbxContent>
                    <w:p w14:paraId="7BC00B6A" w14:textId="77777777" w:rsidR="005B6E23" w:rsidRPr="006F31C1" w:rsidRDefault="005B6E23" w:rsidP="005B6E23">
                      <w:pPr>
                        <w:shd w:val="clear" w:color="auto" w:fill="FFFFFF"/>
                        <w:tabs>
                          <w:tab w:val="left" w:pos="163"/>
                        </w:tabs>
                        <w:autoSpaceDE w:val="0"/>
                        <w:autoSpaceDN w:val="0"/>
                        <w:adjustRightInd w:val="0"/>
                        <w:spacing w:line="240" w:lineRule="auto"/>
                        <w:rPr>
                          <w:rFonts w:cs="Arial"/>
                          <w:color w:val="5F5F5F"/>
                          <w:sz w:val="18"/>
                          <w:szCs w:val="18"/>
                        </w:rPr>
                      </w:pPr>
                      <w:r w:rsidRPr="006F31C1">
                        <w:rPr>
                          <w:rFonts w:eastAsia="Calibri" w:cs="Arial"/>
                          <w:b/>
                          <w:bCs/>
                          <w:caps/>
                          <w:color w:val="006747"/>
                          <w:spacing w:val="7"/>
                          <w:sz w:val="21"/>
                          <w:szCs w:val="22"/>
                          <w:lang w:val="en-GB"/>
                        </w:rPr>
                        <w:t>Charges for this Fund</w:t>
                      </w:r>
                    </w:p>
                  </w:txbxContent>
                </v:textbox>
              </v:shape>
            </w:pict>
          </mc:Fallback>
        </mc:AlternateContent>
      </w:r>
      <w:r w:rsidR="005B6E23">
        <w:br w:type="page"/>
      </w:r>
    </w:p>
    <w:p w14:paraId="1182EDA0" w14:textId="2C8EDCF4" w:rsidR="005B6E23" w:rsidRDefault="00B07402">
      <w:pPr>
        <w:widowControl/>
        <w:spacing w:after="160" w:line="259" w:lineRule="auto"/>
        <w:jc w:val="left"/>
      </w:pPr>
      <w:r>
        <w:rPr>
          <w:noProof/>
          <w:lang w:val="en-GB" w:eastAsia="en-GB"/>
        </w:rPr>
        <w:lastRenderedPageBreak/>
        <mc:AlternateContent>
          <mc:Choice Requires="wps">
            <w:drawing>
              <wp:anchor distT="0" distB="0" distL="114300" distR="114300" simplePos="0" relativeHeight="251658239" behindDoc="0" locked="0" layoutInCell="1" allowOverlap="1" wp14:anchorId="314135DF" wp14:editId="0D102D56">
                <wp:simplePos x="0" y="0"/>
                <wp:positionH relativeFrom="column">
                  <wp:posOffset>-419100</wp:posOffset>
                </wp:positionH>
                <wp:positionV relativeFrom="paragraph">
                  <wp:posOffset>-171450</wp:posOffset>
                </wp:positionV>
                <wp:extent cx="3394710" cy="225742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4710" cy="2257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E2E970" w14:textId="0B5D3364" w:rsidR="00A545B1" w:rsidRDefault="00A545B1" w:rsidP="00A545B1">
                            <w:pPr>
                              <w:pStyle w:val="KIIDtext1"/>
                              <w:rPr>
                                <w:rFonts w:cs="Arial"/>
                                <w:sz w:val="17"/>
                                <w:lang w:val="en-GB"/>
                              </w:rPr>
                            </w:pPr>
                            <w:r w:rsidRPr="009354CE">
                              <w:rPr>
                                <w:rFonts w:cs="Arial"/>
                                <w:sz w:val="17"/>
                                <w:lang w:val="en-GB"/>
                              </w:rPr>
                              <w:t>The entry charge shown is a maximum figure. In some cases, you might pay less –your financial adviser</w:t>
                            </w:r>
                            <w:r>
                              <w:rPr>
                                <w:rFonts w:cs="Arial"/>
                                <w:sz w:val="17"/>
                                <w:lang w:val="en-GB"/>
                              </w:rPr>
                              <w:t xml:space="preserve"> can advise if this may be the case</w:t>
                            </w:r>
                            <w:r w:rsidRPr="009354CE">
                              <w:rPr>
                                <w:rFonts w:cs="Arial"/>
                                <w:sz w:val="17"/>
                                <w:lang w:val="en-GB"/>
                              </w:rPr>
                              <w:t>.</w:t>
                            </w:r>
                          </w:p>
                          <w:p w14:paraId="4DAAD2B9" w14:textId="15334360" w:rsidR="00316AA2" w:rsidRPr="005D031A" w:rsidRDefault="005D031A" w:rsidP="005D031A">
                            <w:pPr>
                              <w:pStyle w:val="KIIDtext1"/>
                              <w:rPr>
                                <w:rFonts w:cs="Arial"/>
                                <w:sz w:val="17"/>
                                <w:lang w:val="en-GB"/>
                              </w:rPr>
                            </w:pPr>
                            <w:r w:rsidRPr="005D031A">
                              <w:rPr>
                                <w:rFonts w:cs="Arial"/>
                                <w:sz w:val="17"/>
                                <w:lang w:val="en-GB"/>
                              </w:rPr>
                              <w:t xml:space="preserve">The ongoing charges figure is </w:t>
                            </w:r>
                            <w:r w:rsidR="00860C1C">
                              <w:rPr>
                                <w:rFonts w:cs="Arial"/>
                                <w:sz w:val="17"/>
                                <w:lang w:val="en-GB"/>
                              </w:rPr>
                              <w:t>estimated based</w:t>
                            </w:r>
                            <w:r w:rsidR="00860C1C" w:rsidRPr="005D031A">
                              <w:rPr>
                                <w:rFonts w:cs="Arial"/>
                                <w:sz w:val="17"/>
                                <w:lang w:val="en-GB"/>
                              </w:rPr>
                              <w:t xml:space="preserve"> </w:t>
                            </w:r>
                            <w:r w:rsidRPr="005D031A">
                              <w:rPr>
                                <w:rFonts w:cs="Arial"/>
                                <w:sz w:val="17"/>
                                <w:lang w:val="en-GB"/>
                              </w:rPr>
                              <w:t xml:space="preserve">on </w:t>
                            </w:r>
                            <w:r w:rsidRPr="00C92E59">
                              <w:rPr>
                                <w:rFonts w:cs="Arial"/>
                                <w:sz w:val="17"/>
                                <w:lang w:val="en-GB"/>
                              </w:rPr>
                              <w:t>the maximum expenses for the year ending 31 December 2021</w:t>
                            </w:r>
                            <w:r w:rsidR="00860C1C" w:rsidRPr="00C92E59">
                              <w:rPr>
                                <w:rFonts w:cs="Arial"/>
                                <w:sz w:val="17"/>
                                <w:lang w:val="en-GB"/>
                              </w:rPr>
                              <w:t xml:space="preserve"> based on the previous Salar Fund entity</w:t>
                            </w:r>
                            <w:r w:rsidRPr="00C92E59">
                              <w:rPr>
                                <w:rFonts w:cs="Arial"/>
                                <w:sz w:val="17"/>
                                <w:lang w:val="en-GB"/>
                              </w:rPr>
                              <w:t>.</w:t>
                            </w:r>
                            <w:r w:rsidRPr="005D031A">
                              <w:rPr>
                                <w:rFonts w:cs="Arial"/>
                                <w:sz w:val="17"/>
                                <w:lang w:val="en-GB"/>
                              </w:rPr>
                              <w:t xml:space="preserve"> The figure may vary from year to year. It excludes:</w:t>
                            </w:r>
                          </w:p>
                          <w:p w14:paraId="2C15737C" w14:textId="29C403B5" w:rsidR="00DE5EAE" w:rsidRDefault="00DE5EAE" w:rsidP="00EC7D6F">
                            <w:pPr>
                              <w:pStyle w:val="KIIDtext1"/>
                              <w:rPr>
                                <w:rFonts w:cs="Arial"/>
                                <w:sz w:val="17"/>
                                <w:lang w:val="en-GB"/>
                              </w:rPr>
                            </w:pPr>
                            <w:r w:rsidRPr="00DE5EAE">
                              <w:rPr>
                                <w:rFonts w:cs="Arial"/>
                                <w:sz w:val="17"/>
                                <w:lang w:val="en-GB"/>
                              </w:rPr>
                              <w:t xml:space="preserve">Performance fees, 10% of the outperformance of the Fund over </w:t>
                            </w:r>
                            <w:r w:rsidR="00860C1C">
                              <w:rPr>
                                <w:rFonts w:cs="Arial"/>
                                <w:sz w:val="17"/>
                                <w:lang w:val="en-GB"/>
                              </w:rPr>
                              <w:t>a currency specific hurdle rate (see table)</w:t>
                            </w:r>
                            <w:r w:rsidRPr="00DE5EAE">
                              <w:rPr>
                                <w:rFonts w:cs="Arial"/>
                                <w:sz w:val="17"/>
                                <w:lang w:val="en-GB"/>
                              </w:rPr>
                              <w:t xml:space="preserve"> compounded daily. </w:t>
                            </w:r>
                          </w:p>
                          <w:p w14:paraId="452EE53E" w14:textId="63AA2DF7" w:rsidR="00EC7D6F" w:rsidRPr="00632B5E" w:rsidRDefault="008218A8" w:rsidP="00EC7D6F">
                            <w:pPr>
                              <w:pStyle w:val="KIIDtext1"/>
                              <w:rPr>
                                <w:sz w:val="17"/>
                              </w:rPr>
                            </w:pPr>
                            <w:r w:rsidRPr="00C92E59">
                              <w:rPr>
                                <w:sz w:val="17"/>
                                <w:szCs w:val="17"/>
                              </w:rPr>
                              <w:t>For full details of the applicable charges for the Fund reference should be made to the fees and expenses section of the</w:t>
                            </w:r>
                            <w:r>
                              <w:t xml:space="preserve"> Prospectus and Supplement.</w:t>
                            </w:r>
                            <w:r w:rsidR="00EC7D6F" w:rsidRPr="00EC7D6F">
                              <w:rPr>
                                <w:rFonts w:cs="Arial"/>
                                <w:sz w:val="17"/>
                                <w:lang w:val="en-G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4135DF" id="_x0000_s1036" type="#_x0000_t202" style="position:absolute;margin-left:-33pt;margin-top:-13.5pt;width:267.3pt;height:177.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" stroked="f">
                <v:textbox>
                  <w:txbxContent>
                    <w:p w14:paraId="08E2E970" w14:textId="0B5D3364" w:rsidR="00A545B1" w:rsidRDefault="00A545B1" w:rsidP="00A545B1">
                      <w:pPr>
                        <w:pStyle w:val="KIIDtext1"/>
                        <w:rPr>
                          <w:rFonts w:cs="Arial"/>
                          <w:sz w:val="17"/>
                          <w:lang w:val="en-GB"/>
                        </w:rPr>
                      </w:pPr>
                      <w:r w:rsidRPr="009354CE">
                        <w:rPr>
                          <w:rFonts w:cs="Arial"/>
                          <w:sz w:val="17"/>
                          <w:lang w:val="en-GB"/>
                        </w:rPr>
                        <w:t>The entry charge shown is a maximum figure. In some cases, you might pay less –your financial adviser</w:t>
                      </w:r>
                      <w:r>
                        <w:rPr>
                          <w:rFonts w:cs="Arial"/>
                          <w:sz w:val="17"/>
                          <w:lang w:val="en-GB"/>
                        </w:rPr>
                        <w:t xml:space="preserve"> can advise if this may be the case</w:t>
                      </w:r>
                      <w:r w:rsidRPr="009354CE">
                        <w:rPr>
                          <w:rFonts w:cs="Arial"/>
                          <w:sz w:val="17"/>
                          <w:lang w:val="en-GB"/>
                        </w:rPr>
                        <w:t>.</w:t>
                      </w:r>
                    </w:p>
                    <w:p w14:paraId="4DAAD2B9" w14:textId="15334360" w:rsidR="00316AA2" w:rsidRPr="005D031A" w:rsidRDefault="005D031A" w:rsidP="005D031A">
                      <w:pPr>
                        <w:pStyle w:val="KIIDtext1"/>
                        <w:rPr>
                          <w:rFonts w:cs="Arial"/>
                          <w:sz w:val="17"/>
                          <w:lang w:val="en-GB"/>
                        </w:rPr>
                      </w:pPr>
                      <w:r w:rsidRPr="005D031A">
                        <w:rPr>
                          <w:rFonts w:cs="Arial"/>
                          <w:sz w:val="17"/>
                          <w:lang w:val="en-GB"/>
                        </w:rPr>
                        <w:t xml:space="preserve">The ongoing charges figure is </w:t>
                      </w:r>
                      <w:r w:rsidR="00860C1C">
                        <w:rPr>
                          <w:rFonts w:cs="Arial"/>
                          <w:sz w:val="17"/>
                          <w:lang w:val="en-GB"/>
                        </w:rPr>
                        <w:t>estimated based</w:t>
                      </w:r>
                      <w:r w:rsidR="00860C1C" w:rsidRPr="005D031A">
                        <w:rPr>
                          <w:rFonts w:cs="Arial"/>
                          <w:sz w:val="17"/>
                          <w:lang w:val="en-GB"/>
                        </w:rPr>
                        <w:t xml:space="preserve"> </w:t>
                      </w:r>
                      <w:r w:rsidRPr="005D031A">
                        <w:rPr>
                          <w:rFonts w:cs="Arial"/>
                          <w:sz w:val="17"/>
                          <w:lang w:val="en-GB"/>
                        </w:rPr>
                        <w:t xml:space="preserve">on </w:t>
                      </w:r>
                      <w:r w:rsidRPr="00C92E59">
                        <w:rPr>
                          <w:rFonts w:cs="Arial"/>
                          <w:sz w:val="17"/>
                          <w:lang w:val="en-GB"/>
                        </w:rPr>
                        <w:t>the maximum expenses for the year ending 31 December 2021</w:t>
                      </w:r>
                      <w:r w:rsidR="00860C1C" w:rsidRPr="00C92E59">
                        <w:rPr>
                          <w:rFonts w:cs="Arial"/>
                          <w:sz w:val="17"/>
                          <w:lang w:val="en-GB"/>
                        </w:rPr>
                        <w:t xml:space="preserve"> based on the previous </w:t>
                      </w:r>
                      <w:proofErr w:type="spellStart"/>
                      <w:r w:rsidR="00860C1C" w:rsidRPr="00C92E59">
                        <w:rPr>
                          <w:rFonts w:cs="Arial"/>
                          <w:sz w:val="17"/>
                          <w:lang w:val="en-GB"/>
                        </w:rPr>
                        <w:t>Salar</w:t>
                      </w:r>
                      <w:proofErr w:type="spellEnd"/>
                      <w:r w:rsidR="00860C1C" w:rsidRPr="00C92E59">
                        <w:rPr>
                          <w:rFonts w:cs="Arial"/>
                          <w:sz w:val="17"/>
                          <w:lang w:val="en-GB"/>
                        </w:rPr>
                        <w:t xml:space="preserve"> Fund entity</w:t>
                      </w:r>
                      <w:r w:rsidRPr="00C92E59">
                        <w:rPr>
                          <w:rFonts w:cs="Arial"/>
                          <w:sz w:val="17"/>
                          <w:lang w:val="en-GB"/>
                        </w:rPr>
                        <w:t>.</w:t>
                      </w:r>
                      <w:r w:rsidRPr="005D031A">
                        <w:rPr>
                          <w:rFonts w:cs="Arial"/>
                          <w:sz w:val="17"/>
                          <w:lang w:val="en-GB"/>
                        </w:rPr>
                        <w:t xml:space="preserve"> The figure may vary from year to year. It excludes:</w:t>
                      </w:r>
                    </w:p>
                    <w:p w14:paraId="2C15737C" w14:textId="29C403B5" w:rsidR="00DE5EAE" w:rsidRDefault="00DE5EAE" w:rsidP="00EC7D6F">
                      <w:pPr>
                        <w:pStyle w:val="KIIDtext1"/>
                        <w:rPr>
                          <w:rFonts w:cs="Arial"/>
                          <w:sz w:val="17"/>
                          <w:lang w:val="en-GB"/>
                        </w:rPr>
                      </w:pPr>
                      <w:r w:rsidRPr="00DE5EAE">
                        <w:rPr>
                          <w:rFonts w:cs="Arial"/>
                          <w:sz w:val="17"/>
                          <w:lang w:val="en-GB"/>
                        </w:rPr>
                        <w:t xml:space="preserve">Performance fees, 10% of the outperformance of the Fund over </w:t>
                      </w:r>
                      <w:r w:rsidR="00860C1C">
                        <w:rPr>
                          <w:rFonts w:cs="Arial"/>
                          <w:sz w:val="17"/>
                          <w:lang w:val="en-GB"/>
                        </w:rPr>
                        <w:t>a currency specific hurdle rate (see table)</w:t>
                      </w:r>
                      <w:r w:rsidRPr="00DE5EAE">
                        <w:rPr>
                          <w:rFonts w:cs="Arial"/>
                          <w:sz w:val="17"/>
                          <w:lang w:val="en-GB"/>
                        </w:rPr>
                        <w:t xml:space="preserve"> compounded daily. </w:t>
                      </w:r>
                    </w:p>
                    <w:p w14:paraId="452EE53E" w14:textId="63AA2DF7" w:rsidR="00EC7D6F" w:rsidRPr="00632B5E" w:rsidRDefault="008218A8" w:rsidP="00EC7D6F">
                      <w:pPr>
                        <w:pStyle w:val="KIIDtext1"/>
                        <w:rPr>
                          <w:sz w:val="17"/>
                        </w:rPr>
                      </w:pPr>
                      <w:r w:rsidRPr="00C92E59">
                        <w:rPr>
                          <w:sz w:val="17"/>
                          <w:szCs w:val="17"/>
                        </w:rPr>
                        <w:t>For full details of the applicable charges for the Fund reference should be made to the fees and expenses section of the</w:t>
                      </w:r>
                      <w:r>
                        <w:t xml:space="preserve"> Prospectus and Supplement.</w:t>
                      </w:r>
                      <w:r w:rsidR="00EC7D6F" w:rsidRPr="00EC7D6F">
                        <w:rPr>
                          <w:rFonts w:cs="Arial"/>
                          <w:sz w:val="17"/>
                          <w:lang w:val="en-GB"/>
                        </w:rPr>
                        <w:t xml:space="preserve"> </w:t>
                      </w:r>
                    </w:p>
                  </w:txbxContent>
                </v:textbox>
              </v:shape>
            </w:pict>
          </mc:Fallback>
        </mc:AlternateContent>
      </w:r>
      <w:r w:rsidR="002B76E9">
        <w:rPr>
          <w:noProof/>
          <w:lang w:val="en-GB" w:eastAsia="en-GB"/>
        </w:rPr>
        <mc:AlternateContent>
          <mc:Choice Requires="wps">
            <w:drawing>
              <wp:anchor distT="0" distB="0" distL="114300" distR="114300" simplePos="0" relativeHeight="251676672" behindDoc="0" locked="0" layoutInCell="1" allowOverlap="1" wp14:anchorId="5F4798A8" wp14:editId="29C7D811">
                <wp:simplePos x="0" y="0"/>
                <wp:positionH relativeFrom="column">
                  <wp:posOffset>2981325</wp:posOffset>
                </wp:positionH>
                <wp:positionV relativeFrom="paragraph">
                  <wp:posOffset>-219076</wp:posOffset>
                </wp:positionV>
                <wp:extent cx="3383915" cy="2695575"/>
                <wp:effectExtent l="0" t="0" r="26035" b="28575"/>
                <wp:wrapNone/>
                <wp:docPr id="13"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3915" cy="2695575"/>
                        </a:xfrm>
                        <a:prstGeom prst="rect">
                          <a:avLst/>
                        </a:prstGeom>
                        <a:noFill/>
                        <a:ln w="9525">
                          <a:solidFill>
                            <a:srgbClr val="006747"/>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45" w:type="dxa"/>
                              <w:tblCellMar>
                                <w:top w:w="28" w:type="dxa"/>
                              </w:tblCellMar>
                              <w:tblLook w:val="04A0" w:firstRow="1" w:lastRow="0" w:firstColumn="1" w:lastColumn="0" w:noHBand="0" w:noVBand="1"/>
                            </w:tblPr>
                            <w:tblGrid>
                              <w:gridCol w:w="1587"/>
                              <w:gridCol w:w="737"/>
                              <w:gridCol w:w="102"/>
                              <w:gridCol w:w="295"/>
                              <w:gridCol w:w="1587"/>
                              <w:gridCol w:w="737"/>
                            </w:tblGrid>
                            <w:tr w:rsidR="00547654" w14:paraId="3ACABF2B" w14:textId="77777777" w:rsidTr="00547654">
                              <w:trPr>
                                <w:trHeight w:val="283"/>
                              </w:trPr>
                              <w:tc>
                                <w:tcPr>
                                  <w:tcW w:w="5045" w:type="dxa"/>
                                  <w:gridSpan w:val="6"/>
                                  <w:shd w:val="clear" w:color="auto" w:fill="006747"/>
                                </w:tcPr>
                                <w:p w14:paraId="059185E8" w14:textId="77777777" w:rsidR="00547654" w:rsidRPr="006F31C1" w:rsidRDefault="00547654" w:rsidP="00547654">
                                  <w:pPr>
                                    <w:tabs>
                                      <w:tab w:val="left" w:pos="264"/>
                                    </w:tabs>
                                    <w:autoSpaceDE w:val="0"/>
                                    <w:autoSpaceDN w:val="0"/>
                                    <w:adjustRightInd w:val="0"/>
                                    <w:spacing w:line="200" w:lineRule="exact"/>
                                    <w:jc w:val="left"/>
                                    <w:rPr>
                                      <w:rFonts w:cs="Arial"/>
                                      <w:b/>
                                      <w:color w:val="FFFFFF"/>
                                      <w:sz w:val="16"/>
                                      <w:szCs w:val="16"/>
                                      <w:lang w:val="en-US"/>
                                    </w:rPr>
                                  </w:pPr>
                                  <w:r w:rsidRPr="006F31C1">
                                    <w:rPr>
                                      <w:rFonts w:cs="Arial"/>
                                      <w:b/>
                                      <w:color w:val="FFFFFF"/>
                                      <w:sz w:val="16"/>
                                      <w:szCs w:val="16"/>
                                      <w:lang w:val="en-US"/>
                                    </w:rPr>
                                    <w:t>One-off charges taken before or after you invest</w:t>
                                  </w:r>
                                </w:p>
                              </w:tc>
                            </w:tr>
                            <w:tr w:rsidR="00547654" w14:paraId="07282F6D" w14:textId="77777777" w:rsidTr="00547654">
                              <w:tc>
                                <w:tcPr>
                                  <w:tcW w:w="1587" w:type="dxa"/>
                                  <w:tcBorders>
                                    <w:bottom w:val="single" w:sz="8" w:space="0" w:color="CCE1DA"/>
                                  </w:tcBorders>
                                  <w:shd w:val="clear" w:color="auto" w:fill="CCE1DA"/>
                                </w:tcPr>
                                <w:p w14:paraId="0F149CB5" w14:textId="77777777" w:rsidR="00547654" w:rsidRPr="006F31C1" w:rsidRDefault="00547654" w:rsidP="00547654">
                                  <w:pPr>
                                    <w:pStyle w:val="KIIDtext1"/>
                                    <w:autoSpaceDE w:val="0"/>
                                    <w:autoSpaceDN w:val="0"/>
                                    <w:adjustRightInd w:val="0"/>
                                    <w:spacing w:line="200" w:lineRule="exact"/>
                                    <w:rPr>
                                      <w:rFonts w:cs="Arial"/>
                                      <w:color w:val="006747"/>
                                      <w:sz w:val="16"/>
                                      <w:szCs w:val="16"/>
                                    </w:rPr>
                                  </w:pPr>
                                  <w:r w:rsidRPr="006F31C1">
                                    <w:rPr>
                                      <w:rFonts w:cs="Arial"/>
                                      <w:b/>
                                      <w:color w:val="006747"/>
                                      <w:sz w:val="16"/>
                                      <w:szCs w:val="16"/>
                                      <w:lang w:val="en-US"/>
                                    </w:rPr>
                                    <w:t>Entry Charge</w:t>
                                  </w:r>
                                </w:p>
                              </w:tc>
                              <w:tc>
                                <w:tcPr>
                                  <w:tcW w:w="737" w:type="dxa"/>
                                  <w:tcBorders>
                                    <w:bottom w:val="single" w:sz="8" w:space="0" w:color="CCE1DA"/>
                                    <w:right w:val="single" w:sz="8" w:space="0" w:color="CCE1DA"/>
                                  </w:tcBorders>
                                  <w:shd w:val="clear" w:color="auto" w:fill="auto"/>
                                </w:tcPr>
                                <w:p w14:paraId="24CC7531" w14:textId="2EB68F93" w:rsidR="00547654" w:rsidRPr="006F31C1" w:rsidRDefault="00EC7D6F" w:rsidP="00547654">
                                  <w:pPr>
                                    <w:pStyle w:val="KIIDtext1"/>
                                    <w:autoSpaceDE w:val="0"/>
                                    <w:autoSpaceDN w:val="0"/>
                                    <w:adjustRightInd w:val="0"/>
                                    <w:spacing w:line="200" w:lineRule="exact"/>
                                    <w:rPr>
                                      <w:rFonts w:cs="Arial"/>
                                      <w:sz w:val="16"/>
                                      <w:szCs w:val="16"/>
                                    </w:rPr>
                                  </w:pPr>
                                  <w:r>
                                    <w:rPr>
                                      <w:rFonts w:cs="Arial"/>
                                      <w:sz w:val="16"/>
                                      <w:szCs w:val="16"/>
                                      <w:lang w:val="en-US"/>
                                    </w:rPr>
                                    <w:t>None</w:t>
                                  </w:r>
                                </w:p>
                              </w:tc>
                              <w:tc>
                                <w:tcPr>
                                  <w:tcW w:w="397" w:type="dxa"/>
                                  <w:gridSpan w:val="2"/>
                                  <w:tcBorders>
                                    <w:left w:val="single" w:sz="8" w:space="0" w:color="CCE1DA"/>
                                  </w:tcBorders>
                                  <w:shd w:val="clear" w:color="auto" w:fill="FFFFFF"/>
                                </w:tcPr>
                                <w:p w14:paraId="52B89D6F" w14:textId="77777777" w:rsidR="00547654" w:rsidRPr="006F31C1" w:rsidRDefault="00547654" w:rsidP="00547654">
                                  <w:pPr>
                                    <w:pStyle w:val="KIIDtext1"/>
                                    <w:autoSpaceDE w:val="0"/>
                                    <w:autoSpaceDN w:val="0"/>
                                    <w:adjustRightInd w:val="0"/>
                                    <w:spacing w:line="200" w:lineRule="exact"/>
                                    <w:rPr>
                                      <w:rFonts w:cs="Arial"/>
                                      <w:sz w:val="16"/>
                                      <w:szCs w:val="16"/>
                                    </w:rPr>
                                  </w:pPr>
                                </w:p>
                              </w:tc>
                              <w:tc>
                                <w:tcPr>
                                  <w:tcW w:w="1587" w:type="dxa"/>
                                  <w:tcBorders>
                                    <w:bottom w:val="single" w:sz="8" w:space="0" w:color="CCE1DA"/>
                                  </w:tcBorders>
                                  <w:shd w:val="clear" w:color="auto" w:fill="CCE1DA"/>
                                </w:tcPr>
                                <w:p w14:paraId="0F7C93DA" w14:textId="77777777" w:rsidR="00547654" w:rsidRPr="006F31C1" w:rsidRDefault="00547654" w:rsidP="00547654">
                                  <w:pPr>
                                    <w:pStyle w:val="KIIDtext1"/>
                                    <w:autoSpaceDE w:val="0"/>
                                    <w:autoSpaceDN w:val="0"/>
                                    <w:adjustRightInd w:val="0"/>
                                    <w:spacing w:line="200" w:lineRule="exact"/>
                                    <w:rPr>
                                      <w:rFonts w:cs="Arial"/>
                                      <w:sz w:val="16"/>
                                      <w:szCs w:val="16"/>
                                    </w:rPr>
                                  </w:pPr>
                                  <w:r w:rsidRPr="006F31C1">
                                    <w:rPr>
                                      <w:rFonts w:cs="Arial"/>
                                      <w:b/>
                                      <w:color w:val="006747"/>
                                      <w:sz w:val="16"/>
                                      <w:szCs w:val="16"/>
                                      <w:lang w:val="en-US"/>
                                    </w:rPr>
                                    <w:t>Exit Charge</w:t>
                                  </w:r>
                                </w:p>
                              </w:tc>
                              <w:tc>
                                <w:tcPr>
                                  <w:tcW w:w="737" w:type="dxa"/>
                                  <w:tcBorders>
                                    <w:bottom w:val="single" w:sz="8" w:space="0" w:color="CCE1DA"/>
                                    <w:right w:val="single" w:sz="8" w:space="0" w:color="CCE1DA"/>
                                  </w:tcBorders>
                                  <w:shd w:val="clear" w:color="auto" w:fill="auto"/>
                                </w:tcPr>
                                <w:p w14:paraId="3940D495" w14:textId="636F668B" w:rsidR="00547654" w:rsidRPr="006F31C1" w:rsidRDefault="00EC7D6F" w:rsidP="00547654">
                                  <w:pPr>
                                    <w:pStyle w:val="KIIDtext1"/>
                                    <w:autoSpaceDE w:val="0"/>
                                    <w:autoSpaceDN w:val="0"/>
                                    <w:adjustRightInd w:val="0"/>
                                    <w:spacing w:line="200" w:lineRule="exact"/>
                                    <w:rPr>
                                      <w:rFonts w:cs="Arial"/>
                                      <w:sz w:val="16"/>
                                      <w:szCs w:val="16"/>
                                    </w:rPr>
                                  </w:pPr>
                                  <w:r>
                                    <w:rPr>
                                      <w:rFonts w:cs="Arial"/>
                                      <w:sz w:val="16"/>
                                      <w:szCs w:val="16"/>
                                    </w:rPr>
                                    <w:t>None</w:t>
                                  </w:r>
                                </w:p>
                              </w:tc>
                            </w:tr>
                            <w:tr w:rsidR="00547654" w14:paraId="1BF5D050" w14:textId="77777777" w:rsidTr="00547654">
                              <w:tc>
                                <w:tcPr>
                                  <w:tcW w:w="5045" w:type="dxa"/>
                                  <w:gridSpan w:val="6"/>
                                  <w:shd w:val="clear" w:color="auto" w:fill="auto"/>
                                </w:tcPr>
                                <w:p w14:paraId="2BB00D2A" w14:textId="612C839B" w:rsidR="00547654" w:rsidRPr="006F31C1" w:rsidRDefault="00EC7D6F" w:rsidP="00547654">
                                  <w:pPr>
                                    <w:pStyle w:val="KIIDtext1"/>
                                    <w:autoSpaceDE w:val="0"/>
                                    <w:autoSpaceDN w:val="0"/>
                                    <w:adjustRightInd w:val="0"/>
                                    <w:spacing w:after="180" w:line="200" w:lineRule="exact"/>
                                    <w:rPr>
                                      <w:rFonts w:cs="Arial"/>
                                      <w:sz w:val="16"/>
                                      <w:szCs w:val="16"/>
                                    </w:rPr>
                                  </w:pPr>
                                  <w:r w:rsidRPr="00EC7D6F">
                                    <w:rPr>
                                      <w:rFonts w:cs="Arial"/>
                                      <w:sz w:val="16"/>
                                      <w:szCs w:val="16"/>
                                      <w:lang w:val="en-GB"/>
                                    </w:rPr>
                                    <w:t>The Entry Charge is the maximum that might be taken out of your money before it is invested.</w:t>
                                  </w:r>
                                </w:p>
                              </w:tc>
                            </w:tr>
                            <w:tr w:rsidR="00547654" w14:paraId="3DE3479F" w14:textId="77777777" w:rsidTr="00547654">
                              <w:trPr>
                                <w:trHeight w:val="283"/>
                              </w:trPr>
                              <w:tc>
                                <w:tcPr>
                                  <w:tcW w:w="5045" w:type="dxa"/>
                                  <w:gridSpan w:val="6"/>
                                  <w:shd w:val="clear" w:color="auto" w:fill="006747"/>
                                </w:tcPr>
                                <w:p w14:paraId="40454E8D" w14:textId="77777777" w:rsidR="00547654" w:rsidRPr="006F31C1" w:rsidRDefault="00547654" w:rsidP="00547654">
                                  <w:pPr>
                                    <w:pStyle w:val="KIIDtext1"/>
                                    <w:autoSpaceDE w:val="0"/>
                                    <w:autoSpaceDN w:val="0"/>
                                    <w:adjustRightInd w:val="0"/>
                                    <w:spacing w:after="0" w:line="200" w:lineRule="exact"/>
                                    <w:rPr>
                                      <w:rFonts w:cs="Arial"/>
                                      <w:b/>
                                      <w:color w:val="FFFFFF"/>
                                      <w:sz w:val="16"/>
                                      <w:szCs w:val="16"/>
                                    </w:rPr>
                                  </w:pPr>
                                  <w:r w:rsidRPr="006F31C1">
                                    <w:rPr>
                                      <w:rFonts w:cs="Arial"/>
                                      <w:b/>
                                      <w:color w:val="FFFFFF"/>
                                      <w:sz w:val="16"/>
                                      <w:szCs w:val="16"/>
                                      <w:lang w:val="en-US"/>
                                    </w:rPr>
                                    <w:t>Charges taken from the fund over a year</w:t>
                                  </w:r>
                                </w:p>
                              </w:tc>
                            </w:tr>
                            <w:tr w:rsidR="00547654" w14:paraId="1392D75E" w14:textId="77777777" w:rsidTr="00547654">
                              <w:tc>
                                <w:tcPr>
                                  <w:tcW w:w="2426" w:type="dxa"/>
                                  <w:gridSpan w:val="3"/>
                                  <w:tcBorders>
                                    <w:bottom w:val="single" w:sz="8" w:space="0" w:color="CCE1DA"/>
                                  </w:tcBorders>
                                  <w:shd w:val="clear" w:color="auto" w:fill="CCE1DA"/>
                                </w:tcPr>
                                <w:p w14:paraId="533F74C7" w14:textId="77777777" w:rsidR="00547654" w:rsidRPr="006F31C1" w:rsidRDefault="00547654" w:rsidP="00547654">
                                  <w:pPr>
                                    <w:pStyle w:val="KIIDtext1"/>
                                    <w:autoSpaceDE w:val="0"/>
                                    <w:autoSpaceDN w:val="0"/>
                                    <w:adjustRightInd w:val="0"/>
                                    <w:spacing w:line="200" w:lineRule="exact"/>
                                    <w:rPr>
                                      <w:rFonts w:cs="Arial"/>
                                      <w:color w:val="006747"/>
                                      <w:sz w:val="16"/>
                                      <w:szCs w:val="16"/>
                                    </w:rPr>
                                  </w:pPr>
                                  <w:r w:rsidRPr="006F31C1">
                                    <w:rPr>
                                      <w:rFonts w:cs="Arial"/>
                                      <w:b/>
                                      <w:color w:val="006747"/>
                                      <w:sz w:val="16"/>
                                      <w:szCs w:val="16"/>
                                      <w:lang w:val="en-US"/>
                                    </w:rPr>
                                    <w:t>Ongoing charges</w:t>
                                  </w:r>
                                </w:p>
                              </w:tc>
                              <w:tc>
                                <w:tcPr>
                                  <w:tcW w:w="2619" w:type="dxa"/>
                                  <w:gridSpan w:val="3"/>
                                  <w:tcBorders>
                                    <w:bottom w:val="single" w:sz="8" w:space="0" w:color="CCE1DA"/>
                                    <w:right w:val="single" w:sz="8" w:space="0" w:color="CCE1DA"/>
                                  </w:tcBorders>
                                  <w:shd w:val="clear" w:color="auto" w:fill="auto"/>
                                </w:tcPr>
                                <w:p w14:paraId="446FE436" w14:textId="42080E3A" w:rsidR="00547654" w:rsidRPr="003206E5" w:rsidRDefault="005D031A" w:rsidP="00260AA8">
                                  <w:pPr>
                                    <w:pStyle w:val="KIIDtext1"/>
                                    <w:autoSpaceDE w:val="0"/>
                                    <w:autoSpaceDN w:val="0"/>
                                    <w:adjustRightInd w:val="0"/>
                                    <w:spacing w:line="200" w:lineRule="exact"/>
                                    <w:rPr>
                                      <w:rFonts w:cs="Arial"/>
                                      <w:b/>
                                      <w:sz w:val="16"/>
                                      <w:szCs w:val="16"/>
                                    </w:rPr>
                                  </w:pPr>
                                  <w:r>
                                    <w:rPr>
                                      <w:rFonts w:cs="Arial"/>
                                      <w:sz w:val="16"/>
                                      <w:szCs w:val="16"/>
                                    </w:rPr>
                                    <w:t>1.43</w:t>
                                  </w:r>
                                  <w:r w:rsidR="00547654" w:rsidRPr="006F31C1">
                                    <w:rPr>
                                      <w:rFonts w:cs="Arial"/>
                                      <w:sz w:val="16"/>
                                      <w:szCs w:val="16"/>
                                    </w:rPr>
                                    <w:t>%</w:t>
                                  </w:r>
                                </w:p>
                              </w:tc>
                            </w:tr>
                            <w:tr w:rsidR="00547654" w14:paraId="473D24F6" w14:textId="77777777" w:rsidTr="00547654">
                              <w:trPr>
                                <w:trHeight w:val="283"/>
                              </w:trPr>
                              <w:tc>
                                <w:tcPr>
                                  <w:tcW w:w="5045" w:type="dxa"/>
                                  <w:gridSpan w:val="6"/>
                                  <w:shd w:val="clear" w:color="auto" w:fill="006747"/>
                                </w:tcPr>
                                <w:p w14:paraId="39E2A768" w14:textId="77777777" w:rsidR="00547654" w:rsidRPr="006F31C1" w:rsidRDefault="00547654" w:rsidP="00547654">
                                  <w:pPr>
                                    <w:pStyle w:val="KIIDtext1"/>
                                    <w:autoSpaceDE w:val="0"/>
                                    <w:autoSpaceDN w:val="0"/>
                                    <w:adjustRightInd w:val="0"/>
                                    <w:spacing w:after="0" w:line="200" w:lineRule="exact"/>
                                    <w:rPr>
                                      <w:rFonts w:cs="Arial"/>
                                      <w:b/>
                                      <w:color w:val="FFFFFF"/>
                                      <w:spacing w:val="-2"/>
                                      <w:sz w:val="16"/>
                                      <w:szCs w:val="16"/>
                                    </w:rPr>
                                  </w:pPr>
                                  <w:r w:rsidRPr="006F31C1">
                                    <w:rPr>
                                      <w:rFonts w:cs="Arial"/>
                                      <w:b/>
                                      <w:color w:val="FFFFFF"/>
                                      <w:spacing w:val="-2"/>
                                      <w:sz w:val="16"/>
                                      <w:szCs w:val="16"/>
                                      <w:lang w:val="en-US"/>
                                    </w:rPr>
                                    <w:t>Charges taken from the fund under certain specific conditions</w:t>
                                  </w:r>
                                </w:p>
                              </w:tc>
                            </w:tr>
                            <w:tr w:rsidR="00547654" w14:paraId="235B34B0" w14:textId="77777777" w:rsidTr="00547654">
                              <w:tc>
                                <w:tcPr>
                                  <w:tcW w:w="2426" w:type="dxa"/>
                                  <w:gridSpan w:val="3"/>
                                  <w:tcBorders>
                                    <w:bottom w:val="single" w:sz="8" w:space="0" w:color="CCE1DA"/>
                                  </w:tcBorders>
                                  <w:shd w:val="clear" w:color="auto" w:fill="CCE1DA"/>
                                  <w:vAlign w:val="center"/>
                                </w:tcPr>
                                <w:p w14:paraId="0FBFC597" w14:textId="77777777" w:rsidR="00547654" w:rsidRPr="006F31C1" w:rsidRDefault="00547654" w:rsidP="00547654">
                                  <w:pPr>
                                    <w:pStyle w:val="KIIDtext1"/>
                                    <w:autoSpaceDE w:val="0"/>
                                    <w:autoSpaceDN w:val="0"/>
                                    <w:adjustRightInd w:val="0"/>
                                    <w:rPr>
                                      <w:rFonts w:cs="Arial"/>
                                      <w:b/>
                                      <w:color w:val="006747"/>
                                      <w:sz w:val="16"/>
                                      <w:szCs w:val="16"/>
                                      <w:lang w:val="en-US"/>
                                    </w:rPr>
                                  </w:pPr>
                                  <w:r w:rsidRPr="006F31C1">
                                    <w:rPr>
                                      <w:rFonts w:cs="Arial"/>
                                      <w:b/>
                                      <w:color w:val="006747"/>
                                      <w:sz w:val="16"/>
                                      <w:szCs w:val="16"/>
                                      <w:lang w:val="en-US"/>
                                    </w:rPr>
                                    <w:t>Performance fee</w:t>
                                  </w:r>
                                </w:p>
                              </w:tc>
                              <w:tc>
                                <w:tcPr>
                                  <w:tcW w:w="2619" w:type="dxa"/>
                                  <w:gridSpan w:val="3"/>
                                  <w:tcBorders>
                                    <w:bottom w:val="single" w:sz="8" w:space="0" w:color="CCE1DA"/>
                                    <w:right w:val="single" w:sz="8" w:space="0" w:color="CCE1DA"/>
                                  </w:tcBorders>
                                  <w:shd w:val="clear" w:color="auto" w:fill="auto"/>
                                  <w:vAlign w:val="center"/>
                                </w:tcPr>
                                <w:p w14:paraId="5BB6228D" w14:textId="2EFADDEB" w:rsidR="00547654" w:rsidRDefault="005D031A" w:rsidP="00547654">
                                  <w:pPr>
                                    <w:pStyle w:val="KIIDtext1"/>
                                    <w:autoSpaceDE w:val="0"/>
                                    <w:autoSpaceDN w:val="0"/>
                                    <w:adjustRightInd w:val="0"/>
                                    <w:spacing w:line="200" w:lineRule="exact"/>
                                    <w:rPr>
                                      <w:rFonts w:cs="Arial"/>
                                      <w:sz w:val="16"/>
                                      <w:szCs w:val="16"/>
                                    </w:rPr>
                                  </w:pPr>
                                  <w:r>
                                    <w:rPr>
                                      <w:rFonts w:cs="Arial"/>
                                      <w:sz w:val="16"/>
                                      <w:szCs w:val="16"/>
                                    </w:rPr>
                                    <w:t xml:space="preserve">10% over a </w:t>
                                  </w:r>
                                  <w:r w:rsidR="002B76E9">
                                    <w:rPr>
                                      <w:rFonts w:cs="Arial"/>
                                      <w:sz w:val="16"/>
                                      <w:szCs w:val="16"/>
                                    </w:rPr>
                                    <w:t>high-water mark/</w:t>
                                  </w:r>
                                  <w:r>
                                    <w:rPr>
                                      <w:rFonts w:cs="Arial"/>
                                      <w:sz w:val="16"/>
                                      <w:szCs w:val="16"/>
                                    </w:rPr>
                                    <w:t>hurdle</w:t>
                                  </w:r>
                                </w:p>
                                <w:p w14:paraId="4B0BEBA0" w14:textId="3D00C3F7" w:rsidR="00860C1C" w:rsidRPr="006F31C1" w:rsidRDefault="001B5511" w:rsidP="007C2529">
                                  <w:pPr>
                                    <w:pStyle w:val="KIIDtext1"/>
                                    <w:autoSpaceDE w:val="0"/>
                                    <w:autoSpaceDN w:val="0"/>
                                    <w:adjustRightInd w:val="0"/>
                                    <w:spacing w:line="200" w:lineRule="exact"/>
                                    <w:rPr>
                                      <w:rFonts w:cs="Arial"/>
                                      <w:sz w:val="16"/>
                                      <w:szCs w:val="16"/>
                                    </w:rPr>
                                  </w:pPr>
                                  <w:r w:rsidRPr="001B5511">
                                    <w:rPr>
                                      <w:rFonts w:cs="Arial"/>
                                      <w:sz w:val="12"/>
                                      <w:szCs w:val="16"/>
                                    </w:rPr>
                                    <w:t>Hurdle:</w:t>
                                  </w:r>
                                  <w:r w:rsidR="00860C1C" w:rsidRPr="00C92E59">
                                    <w:rPr>
                                      <w:rFonts w:cs="Arial"/>
                                      <w:sz w:val="12"/>
                                      <w:szCs w:val="16"/>
                                    </w:rPr>
                                    <w:t xml:space="preserve"> SONIA GBP for </w:t>
                                  </w:r>
                                  <w:r w:rsidR="00B07402">
                                    <w:rPr>
                                      <w:rFonts w:cs="Arial"/>
                                      <w:sz w:val="12"/>
                                      <w:szCs w:val="16"/>
                                    </w:rPr>
                                    <w:t>E</w:t>
                                  </w:r>
                                  <w:r w:rsidR="00860C1C" w:rsidRPr="00C92E59">
                                    <w:rPr>
                                      <w:rFonts w:cs="Arial"/>
                                      <w:sz w:val="12"/>
                                      <w:szCs w:val="16"/>
                                    </w:rPr>
                                    <w:t xml:space="preserve">1 </w:t>
                                  </w:r>
                                  <w:r w:rsidR="00B07402">
                                    <w:rPr>
                                      <w:rFonts w:cs="Arial"/>
                                      <w:sz w:val="12"/>
                                      <w:szCs w:val="16"/>
                                    </w:rPr>
                                    <w:t xml:space="preserve">Dist </w:t>
                                  </w:r>
                                  <w:r w:rsidR="00860C1C" w:rsidRPr="00C92E59">
                                    <w:rPr>
                                      <w:rFonts w:cs="Arial"/>
                                      <w:sz w:val="12"/>
                                      <w:szCs w:val="16"/>
                                    </w:rPr>
                                    <w:t>GBP Shares</w:t>
                                  </w:r>
                                  <w:r w:rsidR="007C2529" w:rsidRPr="007C2529">
                                    <w:rPr>
                                      <w:rFonts w:cs="Arial"/>
                                      <w:sz w:val="12"/>
                                      <w:szCs w:val="16"/>
                                    </w:rPr>
                                    <w:t xml:space="preserve"> </w:t>
                                  </w:r>
                                  <w:r w:rsidR="005713DC">
                                    <w:rPr>
                                      <w:rFonts w:cs="Arial"/>
                                      <w:sz w:val="12"/>
                                      <w:szCs w:val="16"/>
                                    </w:rPr>
                                    <w:t xml:space="preserve">and the Euro Short Term Rate for </w:t>
                                  </w:r>
                                  <w:r w:rsidR="00B07402">
                                    <w:rPr>
                                      <w:rFonts w:cs="Arial"/>
                                      <w:sz w:val="12"/>
                                      <w:szCs w:val="16"/>
                                    </w:rPr>
                                    <w:t xml:space="preserve">E1 Dist EUR </w:t>
                                  </w:r>
                                  <w:r w:rsidR="00860C1C" w:rsidRPr="00C92E59">
                                    <w:rPr>
                                      <w:rFonts w:cs="Arial"/>
                                      <w:sz w:val="12"/>
                                      <w:szCs w:val="16"/>
                                    </w:rPr>
                                    <w:t>Shares</w:t>
                                  </w:r>
                                </w:p>
                              </w:tc>
                            </w:tr>
                          </w:tbl>
                          <w:p w14:paraId="265DD3B0" w14:textId="5766966C" w:rsidR="00A32750" w:rsidRPr="00A32750" w:rsidRDefault="00A32750" w:rsidP="00A32750">
                            <w:pPr>
                              <w:spacing w:after="180" w:line="200" w:lineRule="exact"/>
                              <w:rPr>
                                <w:color w:val="767171" w:themeColor="background2" w:themeShade="80"/>
                                <w:sz w:val="16"/>
                                <w:szCs w:val="17"/>
                              </w:rPr>
                            </w:pPr>
                            <w:r w:rsidRPr="00A32750">
                              <w:rPr>
                                <w:color w:val="767171" w:themeColor="background2" w:themeShade="80"/>
                                <w:sz w:val="16"/>
                                <w:szCs w:val="17"/>
                                <w:lang w:val="en-GB"/>
                              </w:rPr>
                              <w:t>The charges you pay are used to pay the operating costs of running the Fund, including the costs of marketing and distributing it. These charges reduce the potential growth of your investment.</w:t>
                            </w:r>
                          </w:p>
                          <w:p w14:paraId="49F259AB" w14:textId="3CB864EC" w:rsidR="00A32750" w:rsidRPr="00EC7D6F" w:rsidRDefault="00A32750" w:rsidP="00547654">
                            <w:pPr>
                              <w:rPr>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798A8" id="Rectangle 132" o:spid="_x0000_s1037" style="position:absolute;margin-left:234.75pt;margin-top:-17.25pt;width:266.45pt;height:21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" filled="f" strokecolor="#006747">
                <v:textbox>
                  <w:txbxContent>
                    <w:tbl>
                      <w:tblPr>
                        <w:tblW w:w="5045" w:type="dxa"/>
                        <w:tblCellMar>
                          <w:top w:w="28" w:type="dxa"/>
                        </w:tblCellMar>
                        <w:tblLook w:val="04A0" w:firstRow="1" w:lastRow="0" w:firstColumn="1" w:lastColumn="0" w:noHBand="0" w:noVBand="1"/>
                      </w:tblPr>
                      <w:tblGrid>
                        <w:gridCol w:w="1587"/>
                        <w:gridCol w:w="737"/>
                        <w:gridCol w:w="102"/>
                        <w:gridCol w:w="295"/>
                        <w:gridCol w:w="1587"/>
                        <w:gridCol w:w="737"/>
                      </w:tblGrid>
                      <w:tr w:rsidR="00547654" w14:paraId="3ACABF2B" w14:textId="77777777" w:rsidTr="00547654">
                        <w:trPr>
                          <w:trHeight w:val="283"/>
                        </w:trPr>
                        <w:tc>
                          <w:tcPr>
                            <w:tcW w:w="5045" w:type="dxa"/>
                            <w:gridSpan w:val="6"/>
                            <w:shd w:val="clear" w:color="auto" w:fill="006747"/>
                          </w:tcPr>
                          <w:p w14:paraId="059185E8" w14:textId="77777777" w:rsidR="00547654" w:rsidRPr="006F31C1" w:rsidRDefault="00547654" w:rsidP="00547654">
                            <w:pPr>
                              <w:tabs>
                                <w:tab w:val="left" w:pos="264"/>
                              </w:tabs>
                              <w:autoSpaceDE w:val="0"/>
                              <w:autoSpaceDN w:val="0"/>
                              <w:adjustRightInd w:val="0"/>
                              <w:spacing w:line="200" w:lineRule="exact"/>
                              <w:jc w:val="left"/>
                              <w:rPr>
                                <w:rFonts w:cs="Arial"/>
                                <w:b/>
                                <w:color w:val="FFFFFF"/>
                                <w:sz w:val="16"/>
                                <w:szCs w:val="16"/>
                                <w:lang w:val="en-US"/>
                              </w:rPr>
                            </w:pPr>
                            <w:r w:rsidRPr="006F31C1">
                              <w:rPr>
                                <w:rFonts w:cs="Arial"/>
                                <w:b/>
                                <w:color w:val="FFFFFF"/>
                                <w:sz w:val="16"/>
                                <w:szCs w:val="16"/>
                                <w:lang w:val="en-US"/>
                              </w:rPr>
                              <w:t>One-off charges taken before or after you invest</w:t>
                            </w:r>
                          </w:p>
                        </w:tc>
                      </w:tr>
                      <w:tr w:rsidR="00547654" w14:paraId="07282F6D" w14:textId="77777777" w:rsidTr="00547654">
                        <w:tc>
                          <w:tcPr>
                            <w:tcW w:w="1587" w:type="dxa"/>
                            <w:tcBorders>
                              <w:bottom w:val="single" w:sz="8" w:space="0" w:color="CCE1DA"/>
                            </w:tcBorders>
                            <w:shd w:val="clear" w:color="auto" w:fill="CCE1DA"/>
                          </w:tcPr>
                          <w:p w14:paraId="0F149CB5" w14:textId="77777777" w:rsidR="00547654" w:rsidRPr="006F31C1" w:rsidRDefault="00547654" w:rsidP="00547654">
                            <w:pPr>
                              <w:pStyle w:val="KIIDtext1"/>
                              <w:autoSpaceDE w:val="0"/>
                              <w:autoSpaceDN w:val="0"/>
                              <w:adjustRightInd w:val="0"/>
                              <w:spacing w:line="200" w:lineRule="exact"/>
                              <w:rPr>
                                <w:rFonts w:cs="Arial"/>
                                <w:color w:val="006747"/>
                                <w:sz w:val="16"/>
                                <w:szCs w:val="16"/>
                              </w:rPr>
                            </w:pPr>
                            <w:r w:rsidRPr="006F31C1">
                              <w:rPr>
                                <w:rFonts w:cs="Arial"/>
                                <w:b/>
                                <w:color w:val="006747"/>
                                <w:sz w:val="16"/>
                                <w:szCs w:val="16"/>
                                <w:lang w:val="en-US"/>
                              </w:rPr>
                              <w:t>Entry Charge</w:t>
                            </w:r>
                          </w:p>
                        </w:tc>
                        <w:tc>
                          <w:tcPr>
                            <w:tcW w:w="737" w:type="dxa"/>
                            <w:tcBorders>
                              <w:bottom w:val="single" w:sz="8" w:space="0" w:color="CCE1DA"/>
                              <w:right w:val="single" w:sz="8" w:space="0" w:color="CCE1DA"/>
                            </w:tcBorders>
                            <w:shd w:val="clear" w:color="auto" w:fill="auto"/>
                          </w:tcPr>
                          <w:p w14:paraId="24CC7531" w14:textId="2EB68F93" w:rsidR="00547654" w:rsidRPr="006F31C1" w:rsidRDefault="00EC7D6F" w:rsidP="00547654">
                            <w:pPr>
                              <w:pStyle w:val="KIIDtext1"/>
                              <w:autoSpaceDE w:val="0"/>
                              <w:autoSpaceDN w:val="0"/>
                              <w:adjustRightInd w:val="0"/>
                              <w:spacing w:line="200" w:lineRule="exact"/>
                              <w:rPr>
                                <w:rFonts w:cs="Arial"/>
                                <w:sz w:val="16"/>
                                <w:szCs w:val="16"/>
                              </w:rPr>
                            </w:pPr>
                            <w:r>
                              <w:rPr>
                                <w:rFonts w:cs="Arial"/>
                                <w:sz w:val="16"/>
                                <w:szCs w:val="16"/>
                                <w:lang w:val="en-US"/>
                              </w:rPr>
                              <w:t>None</w:t>
                            </w:r>
                          </w:p>
                        </w:tc>
                        <w:tc>
                          <w:tcPr>
                            <w:tcW w:w="397" w:type="dxa"/>
                            <w:gridSpan w:val="2"/>
                            <w:tcBorders>
                              <w:left w:val="single" w:sz="8" w:space="0" w:color="CCE1DA"/>
                            </w:tcBorders>
                            <w:shd w:val="clear" w:color="auto" w:fill="FFFFFF"/>
                          </w:tcPr>
                          <w:p w14:paraId="52B89D6F" w14:textId="77777777" w:rsidR="00547654" w:rsidRPr="006F31C1" w:rsidRDefault="00547654" w:rsidP="00547654">
                            <w:pPr>
                              <w:pStyle w:val="KIIDtext1"/>
                              <w:autoSpaceDE w:val="0"/>
                              <w:autoSpaceDN w:val="0"/>
                              <w:adjustRightInd w:val="0"/>
                              <w:spacing w:line="200" w:lineRule="exact"/>
                              <w:rPr>
                                <w:rFonts w:cs="Arial"/>
                                <w:sz w:val="16"/>
                                <w:szCs w:val="16"/>
                              </w:rPr>
                            </w:pPr>
                          </w:p>
                        </w:tc>
                        <w:tc>
                          <w:tcPr>
                            <w:tcW w:w="1587" w:type="dxa"/>
                            <w:tcBorders>
                              <w:bottom w:val="single" w:sz="8" w:space="0" w:color="CCE1DA"/>
                            </w:tcBorders>
                            <w:shd w:val="clear" w:color="auto" w:fill="CCE1DA"/>
                          </w:tcPr>
                          <w:p w14:paraId="0F7C93DA" w14:textId="77777777" w:rsidR="00547654" w:rsidRPr="006F31C1" w:rsidRDefault="00547654" w:rsidP="00547654">
                            <w:pPr>
                              <w:pStyle w:val="KIIDtext1"/>
                              <w:autoSpaceDE w:val="0"/>
                              <w:autoSpaceDN w:val="0"/>
                              <w:adjustRightInd w:val="0"/>
                              <w:spacing w:line="200" w:lineRule="exact"/>
                              <w:rPr>
                                <w:rFonts w:cs="Arial"/>
                                <w:sz w:val="16"/>
                                <w:szCs w:val="16"/>
                              </w:rPr>
                            </w:pPr>
                            <w:r w:rsidRPr="006F31C1">
                              <w:rPr>
                                <w:rFonts w:cs="Arial"/>
                                <w:b/>
                                <w:color w:val="006747"/>
                                <w:sz w:val="16"/>
                                <w:szCs w:val="16"/>
                                <w:lang w:val="en-US"/>
                              </w:rPr>
                              <w:t>Exit Charge</w:t>
                            </w:r>
                          </w:p>
                        </w:tc>
                        <w:tc>
                          <w:tcPr>
                            <w:tcW w:w="737" w:type="dxa"/>
                            <w:tcBorders>
                              <w:bottom w:val="single" w:sz="8" w:space="0" w:color="CCE1DA"/>
                              <w:right w:val="single" w:sz="8" w:space="0" w:color="CCE1DA"/>
                            </w:tcBorders>
                            <w:shd w:val="clear" w:color="auto" w:fill="auto"/>
                          </w:tcPr>
                          <w:p w14:paraId="3940D495" w14:textId="636F668B" w:rsidR="00547654" w:rsidRPr="006F31C1" w:rsidRDefault="00EC7D6F" w:rsidP="00547654">
                            <w:pPr>
                              <w:pStyle w:val="KIIDtext1"/>
                              <w:autoSpaceDE w:val="0"/>
                              <w:autoSpaceDN w:val="0"/>
                              <w:adjustRightInd w:val="0"/>
                              <w:spacing w:line="200" w:lineRule="exact"/>
                              <w:rPr>
                                <w:rFonts w:cs="Arial"/>
                                <w:sz w:val="16"/>
                                <w:szCs w:val="16"/>
                              </w:rPr>
                            </w:pPr>
                            <w:r>
                              <w:rPr>
                                <w:rFonts w:cs="Arial"/>
                                <w:sz w:val="16"/>
                                <w:szCs w:val="16"/>
                              </w:rPr>
                              <w:t>None</w:t>
                            </w:r>
                          </w:p>
                        </w:tc>
                      </w:tr>
                      <w:tr w:rsidR="00547654" w14:paraId="1BF5D050" w14:textId="77777777" w:rsidTr="00547654">
                        <w:tc>
                          <w:tcPr>
                            <w:tcW w:w="5045" w:type="dxa"/>
                            <w:gridSpan w:val="6"/>
                            <w:shd w:val="clear" w:color="auto" w:fill="auto"/>
                          </w:tcPr>
                          <w:p w14:paraId="2BB00D2A" w14:textId="612C839B" w:rsidR="00547654" w:rsidRPr="006F31C1" w:rsidRDefault="00EC7D6F" w:rsidP="00547654">
                            <w:pPr>
                              <w:pStyle w:val="KIIDtext1"/>
                              <w:autoSpaceDE w:val="0"/>
                              <w:autoSpaceDN w:val="0"/>
                              <w:adjustRightInd w:val="0"/>
                              <w:spacing w:after="180" w:line="200" w:lineRule="exact"/>
                              <w:rPr>
                                <w:rFonts w:cs="Arial"/>
                                <w:sz w:val="16"/>
                                <w:szCs w:val="16"/>
                              </w:rPr>
                            </w:pPr>
                            <w:r w:rsidRPr="00EC7D6F">
                              <w:rPr>
                                <w:rFonts w:cs="Arial"/>
                                <w:sz w:val="16"/>
                                <w:szCs w:val="16"/>
                                <w:lang w:val="en-GB"/>
                              </w:rPr>
                              <w:t>The Entry Charge is the maximum that might be taken out of your money before it is invested.</w:t>
                            </w:r>
                          </w:p>
                        </w:tc>
                      </w:tr>
                      <w:tr w:rsidR="00547654" w14:paraId="3DE3479F" w14:textId="77777777" w:rsidTr="00547654">
                        <w:trPr>
                          <w:trHeight w:val="283"/>
                        </w:trPr>
                        <w:tc>
                          <w:tcPr>
                            <w:tcW w:w="5045" w:type="dxa"/>
                            <w:gridSpan w:val="6"/>
                            <w:shd w:val="clear" w:color="auto" w:fill="006747"/>
                          </w:tcPr>
                          <w:p w14:paraId="40454E8D" w14:textId="77777777" w:rsidR="00547654" w:rsidRPr="006F31C1" w:rsidRDefault="00547654" w:rsidP="00547654">
                            <w:pPr>
                              <w:pStyle w:val="KIIDtext1"/>
                              <w:autoSpaceDE w:val="0"/>
                              <w:autoSpaceDN w:val="0"/>
                              <w:adjustRightInd w:val="0"/>
                              <w:spacing w:after="0" w:line="200" w:lineRule="exact"/>
                              <w:rPr>
                                <w:rFonts w:cs="Arial"/>
                                <w:b/>
                                <w:color w:val="FFFFFF"/>
                                <w:sz w:val="16"/>
                                <w:szCs w:val="16"/>
                              </w:rPr>
                            </w:pPr>
                            <w:r w:rsidRPr="006F31C1">
                              <w:rPr>
                                <w:rFonts w:cs="Arial"/>
                                <w:b/>
                                <w:color w:val="FFFFFF"/>
                                <w:sz w:val="16"/>
                                <w:szCs w:val="16"/>
                                <w:lang w:val="en-US"/>
                              </w:rPr>
                              <w:t>Charges taken from the fund over a year</w:t>
                            </w:r>
                          </w:p>
                        </w:tc>
                      </w:tr>
                      <w:tr w:rsidR="00547654" w14:paraId="1392D75E" w14:textId="77777777" w:rsidTr="00547654">
                        <w:tc>
                          <w:tcPr>
                            <w:tcW w:w="2426" w:type="dxa"/>
                            <w:gridSpan w:val="3"/>
                            <w:tcBorders>
                              <w:bottom w:val="single" w:sz="8" w:space="0" w:color="CCE1DA"/>
                            </w:tcBorders>
                            <w:shd w:val="clear" w:color="auto" w:fill="CCE1DA"/>
                          </w:tcPr>
                          <w:p w14:paraId="533F74C7" w14:textId="77777777" w:rsidR="00547654" w:rsidRPr="006F31C1" w:rsidRDefault="00547654" w:rsidP="00547654">
                            <w:pPr>
                              <w:pStyle w:val="KIIDtext1"/>
                              <w:autoSpaceDE w:val="0"/>
                              <w:autoSpaceDN w:val="0"/>
                              <w:adjustRightInd w:val="0"/>
                              <w:spacing w:line="200" w:lineRule="exact"/>
                              <w:rPr>
                                <w:rFonts w:cs="Arial"/>
                                <w:color w:val="006747"/>
                                <w:sz w:val="16"/>
                                <w:szCs w:val="16"/>
                              </w:rPr>
                            </w:pPr>
                            <w:r w:rsidRPr="006F31C1">
                              <w:rPr>
                                <w:rFonts w:cs="Arial"/>
                                <w:b/>
                                <w:color w:val="006747"/>
                                <w:sz w:val="16"/>
                                <w:szCs w:val="16"/>
                                <w:lang w:val="en-US"/>
                              </w:rPr>
                              <w:t>Ongoing charges</w:t>
                            </w:r>
                          </w:p>
                        </w:tc>
                        <w:tc>
                          <w:tcPr>
                            <w:tcW w:w="2619" w:type="dxa"/>
                            <w:gridSpan w:val="3"/>
                            <w:tcBorders>
                              <w:bottom w:val="single" w:sz="8" w:space="0" w:color="CCE1DA"/>
                              <w:right w:val="single" w:sz="8" w:space="0" w:color="CCE1DA"/>
                            </w:tcBorders>
                            <w:shd w:val="clear" w:color="auto" w:fill="auto"/>
                          </w:tcPr>
                          <w:p w14:paraId="446FE436" w14:textId="42080E3A" w:rsidR="00547654" w:rsidRPr="003206E5" w:rsidRDefault="005D031A" w:rsidP="00260AA8">
                            <w:pPr>
                              <w:pStyle w:val="KIIDtext1"/>
                              <w:autoSpaceDE w:val="0"/>
                              <w:autoSpaceDN w:val="0"/>
                              <w:adjustRightInd w:val="0"/>
                              <w:spacing w:line="200" w:lineRule="exact"/>
                              <w:rPr>
                                <w:rFonts w:cs="Arial"/>
                                <w:b/>
                                <w:sz w:val="16"/>
                                <w:szCs w:val="16"/>
                              </w:rPr>
                            </w:pPr>
                            <w:r>
                              <w:rPr>
                                <w:rFonts w:cs="Arial"/>
                                <w:sz w:val="16"/>
                                <w:szCs w:val="16"/>
                              </w:rPr>
                              <w:t>1.43</w:t>
                            </w:r>
                            <w:r w:rsidR="00547654" w:rsidRPr="006F31C1">
                              <w:rPr>
                                <w:rFonts w:cs="Arial"/>
                                <w:sz w:val="16"/>
                                <w:szCs w:val="16"/>
                              </w:rPr>
                              <w:t>%</w:t>
                            </w:r>
                          </w:p>
                        </w:tc>
                      </w:tr>
                      <w:tr w:rsidR="00547654" w14:paraId="473D24F6" w14:textId="77777777" w:rsidTr="00547654">
                        <w:trPr>
                          <w:trHeight w:val="283"/>
                        </w:trPr>
                        <w:tc>
                          <w:tcPr>
                            <w:tcW w:w="5045" w:type="dxa"/>
                            <w:gridSpan w:val="6"/>
                            <w:shd w:val="clear" w:color="auto" w:fill="006747"/>
                          </w:tcPr>
                          <w:p w14:paraId="39E2A768" w14:textId="77777777" w:rsidR="00547654" w:rsidRPr="006F31C1" w:rsidRDefault="00547654" w:rsidP="00547654">
                            <w:pPr>
                              <w:pStyle w:val="KIIDtext1"/>
                              <w:autoSpaceDE w:val="0"/>
                              <w:autoSpaceDN w:val="0"/>
                              <w:adjustRightInd w:val="0"/>
                              <w:spacing w:after="0" w:line="200" w:lineRule="exact"/>
                              <w:rPr>
                                <w:rFonts w:cs="Arial"/>
                                <w:b/>
                                <w:color w:val="FFFFFF"/>
                                <w:spacing w:val="-2"/>
                                <w:sz w:val="16"/>
                                <w:szCs w:val="16"/>
                              </w:rPr>
                            </w:pPr>
                            <w:r w:rsidRPr="006F31C1">
                              <w:rPr>
                                <w:rFonts w:cs="Arial"/>
                                <w:b/>
                                <w:color w:val="FFFFFF"/>
                                <w:spacing w:val="-2"/>
                                <w:sz w:val="16"/>
                                <w:szCs w:val="16"/>
                                <w:lang w:val="en-US"/>
                              </w:rPr>
                              <w:t>Charges taken from the fund under certain specific conditions</w:t>
                            </w:r>
                          </w:p>
                        </w:tc>
                      </w:tr>
                      <w:tr w:rsidR="00547654" w14:paraId="235B34B0" w14:textId="77777777" w:rsidTr="00547654">
                        <w:tc>
                          <w:tcPr>
                            <w:tcW w:w="2426" w:type="dxa"/>
                            <w:gridSpan w:val="3"/>
                            <w:tcBorders>
                              <w:bottom w:val="single" w:sz="8" w:space="0" w:color="CCE1DA"/>
                            </w:tcBorders>
                            <w:shd w:val="clear" w:color="auto" w:fill="CCE1DA"/>
                            <w:vAlign w:val="center"/>
                          </w:tcPr>
                          <w:p w14:paraId="0FBFC597" w14:textId="77777777" w:rsidR="00547654" w:rsidRPr="006F31C1" w:rsidRDefault="00547654" w:rsidP="00547654">
                            <w:pPr>
                              <w:pStyle w:val="KIIDtext1"/>
                              <w:autoSpaceDE w:val="0"/>
                              <w:autoSpaceDN w:val="0"/>
                              <w:adjustRightInd w:val="0"/>
                              <w:rPr>
                                <w:rFonts w:cs="Arial"/>
                                <w:b/>
                                <w:color w:val="006747"/>
                                <w:sz w:val="16"/>
                                <w:szCs w:val="16"/>
                                <w:lang w:val="en-US"/>
                              </w:rPr>
                            </w:pPr>
                            <w:r w:rsidRPr="006F31C1">
                              <w:rPr>
                                <w:rFonts w:cs="Arial"/>
                                <w:b/>
                                <w:color w:val="006747"/>
                                <w:sz w:val="16"/>
                                <w:szCs w:val="16"/>
                                <w:lang w:val="en-US"/>
                              </w:rPr>
                              <w:t>Performance fee</w:t>
                            </w:r>
                          </w:p>
                        </w:tc>
                        <w:tc>
                          <w:tcPr>
                            <w:tcW w:w="2619" w:type="dxa"/>
                            <w:gridSpan w:val="3"/>
                            <w:tcBorders>
                              <w:bottom w:val="single" w:sz="8" w:space="0" w:color="CCE1DA"/>
                              <w:right w:val="single" w:sz="8" w:space="0" w:color="CCE1DA"/>
                            </w:tcBorders>
                            <w:shd w:val="clear" w:color="auto" w:fill="auto"/>
                            <w:vAlign w:val="center"/>
                          </w:tcPr>
                          <w:p w14:paraId="5BB6228D" w14:textId="2EFADDEB" w:rsidR="00547654" w:rsidRDefault="005D031A" w:rsidP="00547654">
                            <w:pPr>
                              <w:pStyle w:val="KIIDtext1"/>
                              <w:autoSpaceDE w:val="0"/>
                              <w:autoSpaceDN w:val="0"/>
                              <w:adjustRightInd w:val="0"/>
                              <w:spacing w:line="200" w:lineRule="exact"/>
                              <w:rPr>
                                <w:rFonts w:cs="Arial"/>
                                <w:sz w:val="16"/>
                                <w:szCs w:val="16"/>
                              </w:rPr>
                            </w:pPr>
                            <w:r>
                              <w:rPr>
                                <w:rFonts w:cs="Arial"/>
                                <w:sz w:val="16"/>
                                <w:szCs w:val="16"/>
                              </w:rPr>
                              <w:t xml:space="preserve">10% over a </w:t>
                            </w:r>
                            <w:r w:rsidR="002B76E9">
                              <w:rPr>
                                <w:rFonts w:cs="Arial"/>
                                <w:sz w:val="16"/>
                                <w:szCs w:val="16"/>
                              </w:rPr>
                              <w:t>high-water mark/</w:t>
                            </w:r>
                            <w:r>
                              <w:rPr>
                                <w:rFonts w:cs="Arial"/>
                                <w:sz w:val="16"/>
                                <w:szCs w:val="16"/>
                              </w:rPr>
                              <w:t>hurdle</w:t>
                            </w:r>
                          </w:p>
                          <w:p w14:paraId="4B0BEBA0" w14:textId="3D00C3F7" w:rsidR="00860C1C" w:rsidRPr="006F31C1" w:rsidRDefault="001B5511" w:rsidP="007C2529">
                            <w:pPr>
                              <w:pStyle w:val="KIIDtext1"/>
                              <w:autoSpaceDE w:val="0"/>
                              <w:autoSpaceDN w:val="0"/>
                              <w:adjustRightInd w:val="0"/>
                              <w:spacing w:line="200" w:lineRule="exact"/>
                              <w:rPr>
                                <w:rFonts w:cs="Arial"/>
                                <w:sz w:val="16"/>
                                <w:szCs w:val="16"/>
                              </w:rPr>
                            </w:pPr>
                            <w:r w:rsidRPr="001B5511">
                              <w:rPr>
                                <w:rFonts w:cs="Arial"/>
                                <w:sz w:val="12"/>
                                <w:szCs w:val="16"/>
                              </w:rPr>
                              <w:t>Hurdle:</w:t>
                            </w:r>
                            <w:r w:rsidR="00860C1C" w:rsidRPr="00C92E59">
                              <w:rPr>
                                <w:rFonts w:cs="Arial"/>
                                <w:sz w:val="12"/>
                                <w:szCs w:val="16"/>
                              </w:rPr>
                              <w:t xml:space="preserve"> SONIA GBP for </w:t>
                            </w:r>
                            <w:r w:rsidR="00B07402">
                              <w:rPr>
                                <w:rFonts w:cs="Arial"/>
                                <w:sz w:val="12"/>
                                <w:szCs w:val="16"/>
                              </w:rPr>
                              <w:t>E</w:t>
                            </w:r>
                            <w:r w:rsidR="00860C1C" w:rsidRPr="00C92E59">
                              <w:rPr>
                                <w:rFonts w:cs="Arial"/>
                                <w:sz w:val="12"/>
                                <w:szCs w:val="16"/>
                              </w:rPr>
                              <w:t xml:space="preserve">1 </w:t>
                            </w:r>
                            <w:r w:rsidR="00B07402">
                              <w:rPr>
                                <w:rFonts w:cs="Arial"/>
                                <w:sz w:val="12"/>
                                <w:szCs w:val="16"/>
                              </w:rPr>
                              <w:t xml:space="preserve">Dist </w:t>
                            </w:r>
                            <w:r w:rsidR="00860C1C" w:rsidRPr="00C92E59">
                              <w:rPr>
                                <w:rFonts w:cs="Arial"/>
                                <w:sz w:val="12"/>
                                <w:szCs w:val="16"/>
                              </w:rPr>
                              <w:t>GBP Shares</w:t>
                            </w:r>
                            <w:r w:rsidR="007C2529" w:rsidRPr="007C2529">
                              <w:rPr>
                                <w:rFonts w:cs="Arial"/>
                                <w:sz w:val="12"/>
                                <w:szCs w:val="16"/>
                              </w:rPr>
                              <w:t xml:space="preserve"> </w:t>
                            </w:r>
                            <w:r w:rsidR="005713DC">
                              <w:rPr>
                                <w:rFonts w:cs="Arial"/>
                                <w:sz w:val="12"/>
                                <w:szCs w:val="16"/>
                              </w:rPr>
                              <w:t xml:space="preserve">and the Euro Short Term Rate for </w:t>
                            </w:r>
                            <w:r w:rsidR="00B07402">
                              <w:rPr>
                                <w:rFonts w:cs="Arial"/>
                                <w:sz w:val="12"/>
                                <w:szCs w:val="16"/>
                              </w:rPr>
                              <w:t xml:space="preserve">E1 Dist EUR </w:t>
                            </w:r>
                            <w:r w:rsidR="00860C1C" w:rsidRPr="00C92E59">
                              <w:rPr>
                                <w:rFonts w:cs="Arial"/>
                                <w:sz w:val="12"/>
                                <w:szCs w:val="16"/>
                              </w:rPr>
                              <w:t>Shares</w:t>
                            </w:r>
                          </w:p>
                        </w:tc>
                      </w:tr>
                    </w:tbl>
                    <w:p w14:paraId="265DD3B0" w14:textId="5766966C" w:rsidR="00A32750" w:rsidRPr="00A32750" w:rsidRDefault="00A32750" w:rsidP="00A32750">
                      <w:pPr>
                        <w:spacing w:after="180" w:line="200" w:lineRule="exact"/>
                        <w:rPr>
                          <w:color w:val="767171" w:themeColor="background2" w:themeShade="80"/>
                          <w:sz w:val="16"/>
                          <w:szCs w:val="17"/>
                        </w:rPr>
                      </w:pPr>
                      <w:r w:rsidRPr="00A32750">
                        <w:rPr>
                          <w:color w:val="767171" w:themeColor="background2" w:themeShade="80"/>
                          <w:sz w:val="16"/>
                          <w:szCs w:val="17"/>
                          <w:lang w:val="en-GB"/>
                        </w:rPr>
                        <w:t>The charges you pay are used to pay the operating costs of running the Fund, including the costs of marketing and distributing it. These charges reduce the potential growth of your investment.</w:t>
                      </w:r>
                    </w:p>
                    <w:p w14:paraId="49F259AB" w14:textId="3CB864EC" w:rsidR="00A32750" w:rsidRPr="00EC7D6F" w:rsidRDefault="00A32750" w:rsidP="00547654">
                      <w:pPr>
                        <w:rPr>
                          <w:sz w:val="17"/>
                          <w:szCs w:val="17"/>
                        </w:rPr>
                      </w:pPr>
                    </w:p>
                  </w:txbxContent>
                </v:textbox>
              </v:rect>
            </w:pict>
          </mc:Fallback>
        </mc:AlternateContent>
      </w:r>
      <w:r w:rsidR="00271096">
        <w:rPr>
          <w:noProof/>
          <w:lang w:val="en-GB" w:eastAsia="en-GB"/>
        </w:rPr>
        <mc:AlternateContent>
          <mc:Choice Requires="wps">
            <w:drawing>
              <wp:anchor distT="0" distB="0" distL="114300" distR="114300" simplePos="0" relativeHeight="251674624" behindDoc="0" locked="0" layoutInCell="1" allowOverlap="1" wp14:anchorId="18404AF7" wp14:editId="402F444D">
                <wp:simplePos x="0" y="0"/>
                <wp:positionH relativeFrom="column">
                  <wp:posOffset>-483870</wp:posOffset>
                </wp:positionH>
                <wp:positionV relativeFrom="paragraph">
                  <wp:posOffset>-320040</wp:posOffset>
                </wp:positionV>
                <wp:extent cx="3096260" cy="224155"/>
                <wp:effectExtent l="0" t="0" r="889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06782D" w14:textId="77777777" w:rsidR="005B6E23" w:rsidRPr="006F31C1" w:rsidRDefault="005B6E23" w:rsidP="005B6E23">
                            <w:pPr>
                              <w:shd w:val="clear" w:color="auto" w:fill="FFFFFF"/>
                              <w:tabs>
                                <w:tab w:val="left" w:pos="163"/>
                              </w:tabs>
                              <w:autoSpaceDE w:val="0"/>
                              <w:autoSpaceDN w:val="0"/>
                              <w:adjustRightInd w:val="0"/>
                              <w:spacing w:line="240" w:lineRule="auto"/>
                              <w:rPr>
                                <w:rFonts w:cs="Arial"/>
                                <w:color w:val="5F5F5F"/>
                                <w:sz w:val="18"/>
                                <w:szCs w:val="18"/>
                              </w:rPr>
                            </w:pPr>
                            <w:r w:rsidRPr="006F31C1">
                              <w:rPr>
                                <w:rFonts w:eastAsia="Calibri" w:cs="Arial"/>
                                <w:b/>
                                <w:bCs/>
                                <w:caps/>
                                <w:color w:val="006747"/>
                                <w:spacing w:val="7"/>
                                <w:sz w:val="21"/>
                                <w:szCs w:val="22"/>
                                <w:lang w:val="en-GB"/>
                              </w:rPr>
                              <w:t>Charges for this Fund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404AF7" id="_x0000_s1038" type="#_x0000_t202" style="position:absolute;margin-left:-38.1pt;margin-top:-25.2pt;width:243.8pt;height:1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" stroked="f">
                <v:textbox>
                  <w:txbxContent>
                    <w:p w14:paraId="6806782D" w14:textId="77777777" w:rsidR="005B6E23" w:rsidRPr="006F31C1" w:rsidRDefault="005B6E23" w:rsidP="005B6E23">
                      <w:pPr>
                        <w:shd w:val="clear" w:color="auto" w:fill="FFFFFF"/>
                        <w:tabs>
                          <w:tab w:val="left" w:pos="163"/>
                        </w:tabs>
                        <w:autoSpaceDE w:val="0"/>
                        <w:autoSpaceDN w:val="0"/>
                        <w:adjustRightInd w:val="0"/>
                        <w:spacing w:line="240" w:lineRule="auto"/>
                        <w:rPr>
                          <w:rFonts w:cs="Arial"/>
                          <w:color w:val="5F5F5F"/>
                          <w:sz w:val="18"/>
                          <w:szCs w:val="18"/>
                        </w:rPr>
                      </w:pPr>
                      <w:r w:rsidRPr="006F31C1">
                        <w:rPr>
                          <w:rFonts w:eastAsia="Calibri" w:cs="Arial"/>
                          <w:b/>
                          <w:bCs/>
                          <w:caps/>
                          <w:color w:val="006747"/>
                          <w:spacing w:val="7"/>
                          <w:sz w:val="21"/>
                          <w:szCs w:val="22"/>
                          <w:lang w:val="en-GB"/>
                        </w:rPr>
                        <w:t>Charges for this Fund</w:t>
                      </w:r>
                    </w:p>
                  </w:txbxContent>
                </v:textbox>
              </v:shape>
            </w:pict>
          </mc:Fallback>
        </mc:AlternateContent>
      </w:r>
    </w:p>
    <w:p w14:paraId="2EAC6F4B" w14:textId="5385036C" w:rsidR="005B6E23" w:rsidRDefault="005B6E23">
      <w:pPr>
        <w:widowControl/>
        <w:spacing w:after="160" w:line="259" w:lineRule="auto"/>
        <w:jc w:val="left"/>
      </w:pPr>
    </w:p>
    <w:p w14:paraId="28366717" w14:textId="445D58D8" w:rsidR="00CB0F6B" w:rsidRDefault="00CB0F6B">
      <w:pPr>
        <w:widowControl/>
        <w:spacing w:after="160" w:line="259" w:lineRule="auto"/>
        <w:jc w:val="left"/>
      </w:pPr>
    </w:p>
    <w:p w14:paraId="4A1DA4D6" w14:textId="77777777" w:rsidR="00CB0F6B" w:rsidRDefault="00CB0F6B">
      <w:pPr>
        <w:widowControl/>
        <w:spacing w:after="160" w:line="259" w:lineRule="auto"/>
        <w:jc w:val="left"/>
      </w:pPr>
    </w:p>
    <w:p w14:paraId="6E498A85" w14:textId="77777777" w:rsidR="00CB0F6B" w:rsidRDefault="00CB0F6B">
      <w:pPr>
        <w:widowControl/>
        <w:spacing w:after="160" w:line="259" w:lineRule="auto"/>
        <w:jc w:val="left"/>
      </w:pPr>
    </w:p>
    <w:p w14:paraId="1653F5EC" w14:textId="77777777" w:rsidR="00CB0F6B" w:rsidRDefault="00CB0F6B">
      <w:pPr>
        <w:widowControl/>
        <w:spacing w:after="160" w:line="259" w:lineRule="auto"/>
        <w:jc w:val="left"/>
      </w:pPr>
    </w:p>
    <w:p w14:paraId="2E0E1DE6" w14:textId="2987AB38" w:rsidR="00CB0F6B" w:rsidRDefault="00CB0F6B">
      <w:pPr>
        <w:widowControl/>
        <w:spacing w:after="160" w:line="259" w:lineRule="auto"/>
        <w:jc w:val="left"/>
      </w:pPr>
    </w:p>
    <w:p w14:paraId="6E9DDF1D" w14:textId="5C592947" w:rsidR="00CB0F6B" w:rsidRDefault="00CB0F6B">
      <w:pPr>
        <w:widowControl/>
        <w:spacing w:after="160" w:line="259" w:lineRule="auto"/>
        <w:jc w:val="left"/>
      </w:pPr>
    </w:p>
    <w:p w14:paraId="39853E37" w14:textId="3D747435" w:rsidR="00CB0F6B" w:rsidRDefault="00CB0F6B">
      <w:pPr>
        <w:widowControl/>
        <w:spacing w:after="160" w:line="259" w:lineRule="auto"/>
        <w:jc w:val="left"/>
      </w:pPr>
    </w:p>
    <w:p w14:paraId="69D20D1C" w14:textId="3CA3382D" w:rsidR="00F631E3" w:rsidRDefault="00316AA2">
      <w:pPr>
        <w:widowControl/>
        <w:spacing w:after="160" w:line="259" w:lineRule="auto"/>
        <w:jc w:val="left"/>
      </w:pPr>
      <w:r>
        <w:rPr>
          <w:noProof/>
          <w:color w:val="000000"/>
          <w:lang w:val="en-GB" w:eastAsia="en-GB"/>
        </w:rPr>
        <mc:AlternateContent>
          <mc:Choice Requires="wps">
            <w:drawing>
              <wp:anchor distT="0" distB="0" distL="114300" distR="114300" simplePos="0" relativeHeight="251680768" behindDoc="0" locked="0" layoutInCell="1" allowOverlap="1" wp14:anchorId="2ED6B05F" wp14:editId="7B4ADF00">
                <wp:simplePos x="0" y="0"/>
                <wp:positionH relativeFrom="margin">
                  <wp:posOffset>-477520</wp:posOffset>
                </wp:positionH>
                <wp:positionV relativeFrom="paragraph">
                  <wp:posOffset>180975</wp:posOffset>
                </wp:positionV>
                <wp:extent cx="6840220" cy="8255"/>
                <wp:effectExtent l="0" t="0" r="36830" b="29845"/>
                <wp:wrapNone/>
                <wp:docPr id="11"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8255"/>
                        </a:xfrm>
                        <a:prstGeom prst="straightConnector1">
                          <a:avLst/>
                        </a:prstGeom>
                        <a:noFill/>
                        <a:ln w="9525">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096D63" id="AutoShape 129" o:spid="_x0000_s1026" type="#_x0000_t32" style="position:absolute;margin-left:-37.6pt;margin-top:14.25pt;width:538.6pt;height:.6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" strokecolor="#006747">
                <w10:wrap anchorx="margin"/>
              </v:shape>
            </w:pict>
          </mc:Fallback>
        </mc:AlternateContent>
      </w:r>
      <w:r>
        <w:rPr>
          <w:noProof/>
          <w:lang w:val="en-GB" w:eastAsia="en-GB"/>
        </w:rPr>
        <mc:AlternateContent>
          <mc:Choice Requires="wps">
            <w:drawing>
              <wp:anchor distT="0" distB="0" distL="114300" distR="114300" simplePos="0" relativeHeight="251682816" behindDoc="0" locked="0" layoutInCell="1" allowOverlap="1" wp14:anchorId="0E57E85D" wp14:editId="00B6AE57">
                <wp:simplePos x="0" y="0"/>
                <wp:positionH relativeFrom="column">
                  <wp:posOffset>-514350</wp:posOffset>
                </wp:positionH>
                <wp:positionV relativeFrom="paragraph">
                  <wp:posOffset>213995</wp:posOffset>
                </wp:positionV>
                <wp:extent cx="3096260" cy="224155"/>
                <wp:effectExtent l="0" t="0" r="8890" b="444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0DA84A" w14:textId="77777777" w:rsidR="00547654" w:rsidRPr="006F31C1" w:rsidRDefault="00547654" w:rsidP="00547654">
                            <w:pPr>
                              <w:shd w:val="clear" w:color="auto" w:fill="FFFFFF"/>
                              <w:tabs>
                                <w:tab w:val="left" w:pos="163"/>
                              </w:tabs>
                              <w:autoSpaceDE w:val="0"/>
                              <w:autoSpaceDN w:val="0"/>
                              <w:adjustRightInd w:val="0"/>
                              <w:spacing w:line="240" w:lineRule="auto"/>
                              <w:rPr>
                                <w:rFonts w:cs="Arial"/>
                                <w:color w:val="5F5F5F"/>
                                <w:sz w:val="18"/>
                                <w:szCs w:val="18"/>
                              </w:rPr>
                            </w:pPr>
                            <w:r w:rsidRPr="006F31C1">
                              <w:rPr>
                                <w:rFonts w:eastAsia="Calibri" w:cs="Arial"/>
                                <w:b/>
                                <w:bCs/>
                                <w:caps/>
                                <w:color w:val="006747"/>
                                <w:spacing w:val="7"/>
                                <w:sz w:val="21"/>
                                <w:szCs w:val="22"/>
                                <w:lang w:val="en-GB"/>
                              </w:rPr>
                              <w:t>Past Performance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57E85D" id="_x0000_s1039" type="#_x0000_t202" style="position:absolute;margin-left:-40.5pt;margin-top:16.85pt;width:243.8pt;height:17.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" stroked="f">
                <v:textbox>
                  <w:txbxContent>
                    <w:p w14:paraId="790DA84A" w14:textId="77777777" w:rsidR="00547654" w:rsidRPr="006F31C1" w:rsidRDefault="00547654" w:rsidP="00547654">
                      <w:pPr>
                        <w:shd w:val="clear" w:color="auto" w:fill="FFFFFF"/>
                        <w:tabs>
                          <w:tab w:val="left" w:pos="163"/>
                        </w:tabs>
                        <w:autoSpaceDE w:val="0"/>
                        <w:autoSpaceDN w:val="0"/>
                        <w:adjustRightInd w:val="0"/>
                        <w:spacing w:line="240" w:lineRule="auto"/>
                        <w:rPr>
                          <w:rFonts w:cs="Arial"/>
                          <w:color w:val="5F5F5F"/>
                          <w:sz w:val="18"/>
                          <w:szCs w:val="18"/>
                        </w:rPr>
                      </w:pPr>
                      <w:r w:rsidRPr="006F31C1">
                        <w:rPr>
                          <w:rFonts w:eastAsia="Calibri" w:cs="Arial"/>
                          <w:b/>
                          <w:bCs/>
                          <w:caps/>
                          <w:color w:val="006747"/>
                          <w:spacing w:val="7"/>
                          <w:sz w:val="21"/>
                          <w:szCs w:val="22"/>
                          <w:lang w:val="en-GB"/>
                        </w:rPr>
                        <w:t>Past Performance</w:t>
                      </w:r>
                    </w:p>
                  </w:txbxContent>
                </v:textbox>
              </v:shape>
            </w:pict>
          </mc:Fallback>
        </mc:AlternateContent>
      </w:r>
    </w:p>
    <w:p w14:paraId="348DEE41" w14:textId="51CEB0BA" w:rsidR="00ED0F4D" w:rsidRDefault="00ED0F4D" w:rsidP="00C92E59">
      <w:pPr>
        <w:widowControl/>
        <w:spacing w:after="160" w:line="259" w:lineRule="auto"/>
        <w:jc w:val="center"/>
        <w:rPr>
          <w:noProof/>
        </w:rPr>
      </w:pPr>
    </w:p>
    <w:p w14:paraId="565A8287" w14:textId="4E8A267B" w:rsidR="00D91E47" w:rsidRDefault="00B07402">
      <w:pPr>
        <w:widowControl/>
        <w:spacing w:after="160" w:line="259" w:lineRule="auto"/>
        <w:jc w:val="left"/>
      </w:pPr>
      <w:r>
        <w:rPr>
          <w:noProof/>
          <w:lang w:val="en-GB" w:eastAsia="en-GB"/>
        </w:rPr>
        <mc:AlternateContent>
          <mc:Choice Requires="wps">
            <w:drawing>
              <wp:anchor distT="0" distB="0" distL="114300" distR="114300" simplePos="0" relativeHeight="251657214" behindDoc="0" locked="0" layoutInCell="1" allowOverlap="1" wp14:anchorId="652E6D33" wp14:editId="76CD6B4E">
                <wp:simplePos x="0" y="0"/>
                <wp:positionH relativeFrom="column">
                  <wp:posOffset>-457200</wp:posOffset>
                </wp:positionH>
                <wp:positionV relativeFrom="paragraph">
                  <wp:posOffset>1863725</wp:posOffset>
                </wp:positionV>
                <wp:extent cx="6962775" cy="552450"/>
                <wp:effectExtent l="0" t="0" r="9525"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760CF8" w14:textId="5E34D50D" w:rsidR="002C6136" w:rsidRDefault="00FE2606" w:rsidP="002C6136">
                            <w:pPr>
                              <w:pStyle w:val="KIIDtext1"/>
                              <w:rPr>
                                <w:rFonts w:ascii="ArialMT" w:eastAsiaTheme="minorHAnsi" w:hAnsi="ArialMT" w:cs="ArialMT"/>
                                <w:sz w:val="14"/>
                                <w:szCs w:val="14"/>
                                <w:lang w:val="en-GB"/>
                              </w:rPr>
                            </w:pPr>
                            <w:bookmarkStart w:id="0" w:name="_Hlk106031432"/>
                            <w:bookmarkStart w:id="1" w:name="_Hlk106031433"/>
                            <w:bookmarkStart w:id="2" w:name="_Hlk106031434"/>
                            <w:bookmarkStart w:id="3" w:name="_Hlk106031435"/>
                            <w:r>
                              <w:rPr>
                                <w:rFonts w:ascii="ArialMT" w:eastAsiaTheme="minorHAnsi" w:hAnsi="ArialMT" w:cs="ArialMT"/>
                                <w:sz w:val="14"/>
                                <w:szCs w:val="14"/>
                                <w:lang w:val="en-GB"/>
                              </w:rPr>
                              <w:t xml:space="preserve">The past performance percentage reflected in the graphs above include all operating and management fees incurred by the </w:t>
                            </w:r>
                            <w:r w:rsidRPr="002C3A76">
                              <w:rPr>
                                <w:rFonts w:ascii="ArialMT" w:eastAsiaTheme="minorHAnsi" w:hAnsi="ArialMT" w:cs="ArialMT"/>
                                <w:sz w:val="14"/>
                                <w:szCs w:val="14"/>
                                <w:lang w:val="en-GB"/>
                              </w:rPr>
                              <w:t xml:space="preserve">Class </w:t>
                            </w:r>
                            <w:r w:rsidR="00B07402">
                              <w:rPr>
                                <w:rFonts w:ascii="ArialMT" w:eastAsiaTheme="minorHAnsi" w:hAnsi="ArialMT" w:cs="ArialMT"/>
                                <w:sz w:val="14"/>
                                <w:szCs w:val="14"/>
                                <w:lang w:val="en-GB"/>
                              </w:rPr>
                              <w:t>E</w:t>
                            </w:r>
                            <w:r w:rsidRPr="002C3A76">
                              <w:rPr>
                                <w:rFonts w:ascii="ArialMT" w:eastAsiaTheme="minorHAnsi" w:hAnsi="ArialMT" w:cs="ArialMT"/>
                                <w:sz w:val="14"/>
                                <w:szCs w:val="14"/>
                                <w:lang w:val="en-GB"/>
                              </w:rPr>
                              <w:t xml:space="preserve">1 </w:t>
                            </w:r>
                            <w:r w:rsidR="00B07402">
                              <w:rPr>
                                <w:rFonts w:ascii="ArialMT" w:eastAsiaTheme="minorHAnsi" w:hAnsi="ArialMT" w:cs="ArialMT"/>
                                <w:sz w:val="14"/>
                                <w:szCs w:val="14"/>
                                <w:lang w:val="en-GB"/>
                              </w:rPr>
                              <w:t xml:space="preserve">Distributing </w:t>
                            </w:r>
                            <w:r w:rsidRPr="002C3A76">
                              <w:rPr>
                                <w:rFonts w:ascii="ArialMT" w:eastAsiaTheme="minorHAnsi" w:hAnsi="ArialMT" w:cs="ArialMT"/>
                                <w:sz w:val="14"/>
                                <w:szCs w:val="14"/>
                                <w:lang w:val="en-GB"/>
                              </w:rPr>
                              <w:t>Shares</w:t>
                            </w:r>
                            <w:r>
                              <w:rPr>
                                <w:rFonts w:ascii="ArialMT" w:eastAsiaTheme="minorHAnsi" w:hAnsi="ArialMT" w:cs="ArialMT"/>
                                <w:sz w:val="14"/>
                                <w:szCs w:val="14"/>
                                <w:lang w:val="en-GB"/>
                              </w:rPr>
                              <w:t xml:space="preserve"> of the Fund. Past performance is not necessarily a guide to future performance, prices may fluctuate and you may not get back your original investment</w:t>
                            </w:r>
                            <w:r w:rsidR="00DA7268">
                              <w:rPr>
                                <w:rFonts w:ascii="ArialMT" w:eastAsiaTheme="minorHAnsi" w:hAnsi="ArialMT" w:cs="ArialMT"/>
                                <w:sz w:val="14"/>
                                <w:szCs w:val="14"/>
                                <w:lang w:val="en-GB"/>
                              </w:rPr>
                              <w:t>. As this fund is</w:t>
                            </w:r>
                            <w:r w:rsidR="00E0421D">
                              <w:rPr>
                                <w:rFonts w:ascii="ArialMT" w:eastAsiaTheme="minorHAnsi" w:hAnsi="ArialMT" w:cs="ArialMT"/>
                                <w:sz w:val="14"/>
                                <w:szCs w:val="14"/>
                                <w:lang w:val="en-GB"/>
                              </w:rPr>
                              <w:t xml:space="preserve"> </w:t>
                            </w:r>
                            <w:r w:rsidR="00872332">
                              <w:rPr>
                                <w:rFonts w:ascii="ArialMT" w:eastAsiaTheme="minorHAnsi" w:hAnsi="ArialMT" w:cs="ArialMT"/>
                                <w:sz w:val="14"/>
                                <w:szCs w:val="14"/>
                                <w:lang w:val="en-GB"/>
                              </w:rPr>
                              <w:t>a newly-established</w:t>
                            </w:r>
                            <w:r w:rsidR="00E0421D">
                              <w:rPr>
                                <w:rFonts w:ascii="ArialMT" w:eastAsiaTheme="minorHAnsi" w:hAnsi="ArialMT" w:cs="ArialMT"/>
                                <w:sz w:val="14"/>
                                <w:szCs w:val="14"/>
                                <w:lang w:val="en-GB"/>
                              </w:rPr>
                              <w:t xml:space="preserve"> receiving entity of a merger of a previous UCITS fund, </w:t>
                            </w:r>
                            <w:r w:rsidR="00872332">
                              <w:rPr>
                                <w:rFonts w:ascii="ArialMT" w:eastAsiaTheme="minorHAnsi" w:hAnsi="ArialMT" w:cs="ArialMT"/>
                                <w:sz w:val="14"/>
                                <w:szCs w:val="14"/>
                                <w:lang w:val="en-GB"/>
                              </w:rPr>
                              <w:t xml:space="preserve">past </w:t>
                            </w:r>
                            <w:r w:rsidR="00E0421D">
                              <w:rPr>
                                <w:rFonts w:ascii="ArialMT" w:eastAsiaTheme="minorHAnsi" w:hAnsi="ArialMT" w:cs="ArialMT"/>
                                <w:sz w:val="14"/>
                                <w:szCs w:val="14"/>
                                <w:lang w:val="en-GB"/>
                              </w:rPr>
                              <w:t xml:space="preserve">performance reflects the performance of </w:t>
                            </w:r>
                            <w:r w:rsidR="007831CF">
                              <w:rPr>
                                <w:rFonts w:ascii="ArialMT" w:eastAsiaTheme="minorHAnsi" w:hAnsi="ArialMT" w:cs="ArialMT"/>
                                <w:sz w:val="14"/>
                                <w:szCs w:val="14"/>
                                <w:lang w:val="en-GB"/>
                              </w:rPr>
                              <w:t xml:space="preserve">Salar Fund </w:t>
                            </w:r>
                            <w:r w:rsidR="00F0299D">
                              <w:rPr>
                                <w:rFonts w:ascii="ArialMT" w:eastAsiaTheme="minorHAnsi" w:hAnsi="ArialMT" w:cs="ArialMT"/>
                                <w:sz w:val="14"/>
                                <w:szCs w:val="14"/>
                                <w:lang w:val="en-GB"/>
                              </w:rPr>
                              <w:t>PLC</w:t>
                            </w:r>
                            <w:r w:rsidR="00B07402">
                              <w:rPr>
                                <w:rFonts w:ascii="ArialMT" w:eastAsiaTheme="minorHAnsi" w:hAnsi="ArialMT" w:cs="ArialMT"/>
                                <w:sz w:val="14"/>
                                <w:szCs w:val="14"/>
                                <w:lang w:val="en-GB"/>
                              </w:rPr>
                              <w:t>.</w:t>
                            </w:r>
                          </w:p>
                          <w:bookmarkEnd w:id="0"/>
                          <w:bookmarkEnd w:id="1"/>
                          <w:bookmarkEnd w:id="2"/>
                          <w:bookmarkEnd w:id="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2E6D33" id="_x0000_s1040" type="#_x0000_t202" style="position:absolute;margin-left:-36pt;margin-top:146.75pt;width:548.25pt;height:43.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" stroked="f">
                <v:textbox>
                  <w:txbxContent>
                    <w:p w14:paraId="18760CF8" w14:textId="5E34D50D" w:rsidR="002C6136" w:rsidRDefault="00FE2606" w:rsidP="002C6136">
                      <w:pPr>
                        <w:pStyle w:val="KIIDtext1"/>
                        <w:rPr>
                          <w:rFonts w:ascii="ArialMT" w:eastAsiaTheme="minorHAnsi" w:hAnsi="ArialMT" w:cs="ArialMT"/>
                          <w:sz w:val="14"/>
                          <w:szCs w:val="14"/>
                          <w:lang w:val="en-GB"/>
                        </w:rPr>
                      </w:pPr>
                      <w:bookmarkStart w:id="4" w:name="_Hlk106031432"/>
                      <w:bookmarkStart w:id="5" w:name="_Hlk106031433"/>
                      <w:bookmarkStart w:id="6" w:name="_Hlk106031434"/>
                      <w:bookmarkStart w:id="7" w:name="_Hlk106031435"/>
                      <w:r>
                        <w:rPr>
                          <w:rFonts w:ascii="ArialMT" w:eastAsiaTheme="minorHAnsi" w:hAnsi="ArialMT" w:cs="ArialMT"/>
                          <w:sz w:val="14"/>
                          <w:szCs w:val="14"/>
                          <w:lang w:val="en-GB"/>
                        </w:rPr>
                        <w:t xml:space="preserve">The past performance percentage reflected in the graphs above include all operating and management fees incurred by the </w:t>
                      </w:r>
                      <w:r w:rsidRPr="002C3A76">
                        <w:rPr>
                          <w:rFonts w:ascii="ArialMT" w:eastAsiaTheme="minorHAnsi" w:hAnsi="ArialMT" w:cs="ArialMT"/>
                          <w:sz w:val="14"/>
                          <w:szCs w:val="14"/>
                          <w:lang w:val="en-GB"/>
                        </w:rPr>
                        <w:t xml:space="preserve">Class </w:t>
                      </w:r>
                      <w:r w:rsidR="00B07402">
                        <w:rPr>
                          <w:rFonts w:ascii="ArialMT" w:eastAsiaTheme="minorHAnsi" w:hAnsi="ArialMT" w:cs="ArialMT"/>
                          <w:sz w:val="14"/>
                          <w:szCs w:val="14"/>
                          <w:lang w:val="en-GB"/>
                        </w:rPr>
                        <w:t>E</w:t>
                      </w:r>
                      <w:r w:rsidRPr="002C3A76">
                        <w:rPr>
                          <w:rFonts w:ascii="ArialMT" w:eastAsiaTheme="minorHAnsi" w:hAnsi="ArialMT" w:cs="ArialMT"/>
                          <w:sz w:val="14"/>
                          <w:szCs w:val="14"/>
                          <w:lang w:val="en-GB"/>
                        </w:rPr>
                        <w:t xml:space="preserve">1 </w:t>
                      </w:r>
                      <w:r w:rsidR="00B07402">
                        <w:rPr>
                          <w:rFonts w:ascii="ArialMT" w:eastAsiaTheme="minorHAnsi" w:hAnsi="ArialMT" w:cs="ArialMT"/>
                          <w:sz w:val="14"/>
                          <w:szCs w:val="14"/>
                          <w:lang w:val="en-GB"/>
                        </w:rPr>
                        <w:t xml:space="preserve">Distributing </w:t>
                      </w:r>
                      <w:r w:rsidRPr="002C3A76">
                        <w:rPr>
                          <w:rFonts w:ascii="ArialMT" w:eastAsiaTheme="minorHAnsi" w:hAnsi="ArialMT" w:cs="ArialMT"/>
                          <w:sz w:val="14"/>
                          <w:szCs w:val="14"/>
                          <w:lang w:val="en-GB"/>
                        </w:rPr>
                        <w:t>Shares</w:t>
                      </w:r>
                      <w:r>
                        <w:rPr>
                          <w:rFonts w:ascii="ArialMT" w:eastAsiaTheme="minorHAnsi" w:hAnsi="ArialMT" w:cs="ArialMT"/>
                          <w:sz w:val="14"/>
                          <w:szCs w:val="14"/>
                          <w:lang w:val="en-GB"/>
                        </w:rPr>
                        <w:t xml:space="preserve"> of the Fund. Past performance is not necessarily a guide to future performance, prices may </w:t>
                      </w:r>
                      <w:proofErr w:type="gramStart"/>
                      <w:r>
                        <w:rPr>
                          <w:rFonts w:ascii="ArialMT" w:eastAsiaTheme="minorHAnsi" w:hAnsi="ArialMT" w:cs="ArialMT"/>
                          <w:sz w:val="14"/>
                          <w:szCs w:val="14"/>
                          <w:lang w:val="en-GB"/>
                        </w:rPr>
                        <w:t>fluctuate</w:t>
                      </w:r>
                      <w:proofErr w:type="gramEnd"/>
                      <w:r>
                        <w:rPr>
                          <w:rFonts w:ascii="ArialMT" w:eastAsiaTheme="minorHAnsi" w:hAnsi="ArialMT" w:cs="ArialMT"/>
                          <w:sz w:val="14"/>
                          <w:szCs w:val="14"/>
                          <w:lang w:val="en-GB"/>
                        </w:rPr>
                        <w:t xml:space="preserve"> and you may not get back your original investment</w:t>
                      </w:r>
                      <w:r w:rsidR="00DA7268">
                        <w:rPr>
                          <w:rFonts w:ascii="ArialMT" w:eastAsiaTheme="minorHAnsi" w:hAnsi="ArialMT" w:cs="ArialMT"/>
                          <w:sz w:val="14"/>
                          <w:szCs w:val="14"/>
                          <w:lang w:val="en-GB"/>
                        </w:rPr>
                        <w:t>. As this fund is</w:t>
                      </w:r>
                      <w:r w:rsidR="00E0421D">
                        <w:rPr>
                          <w:rFonts w:ascii="ArialMT" w:eastAsiaTheme="minorHAnsi" w:hAnsi="ArialMT" w:cs="ArialMT"/>
                          <w:sz w:val="14"/>
                          <w:szCs w:val="14"/>
                          <w:lang w:val="en-GB"/>
                        </w:rPr>
                        <w:t xml:space="preserve"> </w:t>
                      </w:r>
                      <w:r w:rsidR="00872332">
                        <w:rPr>
                          <w:rFonts w:ascii="ArialMT" w:eastAsiaTheme="minorHAnsi" w:hAnsi="ArialMT" w:cs="ArialMT"/>
                          <w:sz w:val="14"/>
                          <w:szCs w:val="14"/>
                          <w:lang w:val="en-GB"/>
                        </w:rPr>
                        <w:t xml:space="preserve">a </w:t>
                      </w:r>
                      <w:proofErr w:type="gramStart"/>
                      <w:r w:rsidR="00872332">
                        <w:rPr>
                          <w:rFonts w:ascii="ArialMT" w:eastAsiaTheme="minorHAnsi" w:hAnsi="ArialMT" w:cs="ArialMT"/>
                          <w:sz w:val="14"/>
                          <w:szCs w:val="14"/>
                          <w:lang w:val="en-GB"/>
                        </w:rPr>
                        <w:t>newly-established</w:t>
                      </w:r>
                      <w:proofErr w:type="gramEnd"/>
                      <w:r w:rsidR="00E0421D">
                        <w:rPr>
                          <w:rFonts w:ascii="ArialMT" w:eastAsiaTheme="minorHAnsi" w:hAnsi="ArialMT" w:cs="ArialMT"/>
                          <w:sz w:val="14"/>
                          <w:szCs w:val="14"/>
                          <w:lang w:val="en-GB"/>
                        </w:rPr>
                        <w:t xml:space="preserve"> receiving entity of a merger of a previous UCITS fund, </w:t>
                      </w:r>
                      <w:r w:rsidR="00872332">
                        <w:rPr>
                          <w:rFonts w:ascii="ArialMT" w:eastAsiaTheme="minorHAnsi" w:hAnsi="ArialMT" w:cs="ArialMT"/>
                          <w:sz w:val="14"/>
                          <w:szCs w:val="14"/>
                          <w:lang w:val="en-GB"/>
                        </w:rPr>
                        <w:t xml:space="preserve">past </w:t>
                      </w:r>
                      <w:r w:rsidR="00E0421D">
                        <w:rPr>
                          <w:rFonts w:ascii="ArialMT" w:eastAsiaTheme="minorHAnsi" w:hAnsi="ArialMT" w:cs="ArialMT"/>
                          <w:sz w:val="14"/>
                          <w:szCs w:val="14"/>
                          <w:lang w:val="en-GB"/>
                        </w:rPr>
                        <w:t xml:space="preserve">performance reflects the performance of </w:t>
                      </w:r>
                      <w:proofErr w:type="spellStart"/>
                      <w:r w:rsidR="007831CF">
                        <w:rPr>
                          <w:rFonts w:ascii="ArialMT" w:eastAsiaTheme="minorHAnsi" w:hAnsi="ArialMT" w:cs="ArialMT"/>
                          <w:sz w:val="14"/>
                          <w:szCs w:val="14"/>
                          <w:lang w:val="en-GB"/>
                        </w:rPr>
                        <w:t>Salar</w:t>
                      </w:r>
                      <w:proofErr w:type="spellEnd"/>
                      <w:r w:rsidR="007831CF">
                        <w:rPr>
                          <w:rFonts w:ascii="ArialMT" w:eastAsiaTheme="minorHAnsi" w:hAnsi="ArialMT" w:cs="ArialMT"/>
                          <w:sz w:val="14"/>
                          <w:szCs w:val="14"/>
                          <w:lang w:val="en-GB"/>
                        </w:rPr>
                        <w:t xml:space="preserve"> Fund </w:t>
                      </w:r>
                      <w:r w:rsidR="00F0299D">
                        <w:rPr>
                          <w:rFonts w:ascii="ArialMT" w:eastAsiaTheme="minorHAnsi" w:hAnsi="ArialMT" w:cs="ArialMT"/>
                          <w:sz w:val="14"/>
                          <w:szCs w:val="14"/>
                          <w:lang w:val="en-GB"/>
                        </w:rPr>
                        <w:t>PLC</w:t>
                      </w:r>
                      <w:r w:rsidR="00B07402">
                        <w:rPr>
                          <w:rFonts w:ascii="ArialMT" w:eastAsiaTheme="minorHAnsi" w:hAnsi="ArialMT" w:cs="ArialMT"/>
                          <w:sz w:val="14"/>
                          <w:szCs w:val="14"/>
                          <w:lang w:val="en-GB"/>
                        </w:rPr>
                        <w:t>.</w:t>
                      </w:r>
                    </w:p>
                    <w:bookmarkEnd w:id="4"/>
                    <w:bookmarkEnd w:id="5"/>
                    <w:bookmarkEnd w:id="6"/>
                    <w:bookmarkEnd w:id="7"/>
                  </w:txbxContent>
                </v:textbox>
              </v:shape>
            </w:pict>
          </mc:Fallback>
        </mc:AlternateContent>
      </w:r>
      <w:r>
        <w:rPr>
          <w:noProof/>
        </w:rPr>
        <w:drawing>
          <wp:inline distT="0" distB="0" distL="0" distR="0" wp14:anchorId="00F69EC0" wp14:editId="0EECB426">
            <wp:extent cx="2915935" cy="1847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23374" cy="1852564"/>
                    </a:xfrm>
                    <a:prstGeom prst="rect">
                      <a:avLst/>
                    </a:prstGeom>
                    <a:noFill/>
                  </pic:spPr>
                </pic:pic>
              </a:graphicData>
            </a:graphic>
          </wp:inline>
        </w:drawing>
      </w:r>
      <w:r w:rsidR="00784604">
        <w:rPr>
          <w:noProof/>
        </w:rPr>
        <w:drawing>
          <wp:inline distT="0" distB="0" distL="0" distR="0" wp14:anchorId="24F321EA" wp14:editId="3C7F6F4F">
            <wp:extent cx="2333625" cy="1847850"/>
            <wp:effectExtent l="0" t="0" r="0" b="0"/>
            <wp:docPr id="17" name="Chart 17">
              <a:extLst xmlns:a="http://schemas.openxmlformats.org/drawingml/2006/main">
                <a:ext uri="{FF2B5EF4-FFF2-40B4-BE49-F238E27FC236}">
                  <a16:creationId xmlns:a16="http://schemas.microsoft.com/office/drawing/2014/main" id="{00000000-0008-0000-03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3DC48A2" w14:textId="5D85AC08" w:rsidR="005B6E23" w:rsidRDefault="003152B0">
      <w:pPr>
        <w:widowControl/>
        <w:spacing w:after="160" w:line="259" w:lineRule="auto"/>
        <w:jc w:val="left"/>
      </w:pPr>
      <w:r>
        <w:rPr>
          <w:noProof/>
          <w:lang w:val="en-GB" w:eastAsia="en-GB"/>
        </w:rPr>
        <mc:AlternateContent>
          <mc:Choice Requires="wps">
            <w:drawing>
              <wp:anchor distT="0" distB="0" distL="114300" distR="114300" simplePos="0" relativeHeight="251691008" behindDoc="0" locked="0" layoutInCell="1" allowOverlap="1" wp14:anchorId="433AE50E" wp14:editId="1261B273">
                <wp:simplePos x="0" y="0"/>
                <wp:positionH relativeFrom="column">
                  <wp:posOffset>3019425</wp:posOffset>
                </wp:positionH>
                <wp:positionV relativeFrom="paragraph">
                  <wp:posOffset>469900</wp:posOffset>
                </wp:positionV>
                <wp:extent cx="3275965" cy="2914650"/>
                <wp:effectExtent l="0" t="0" r="63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5965" cy="2914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A6402E" w14:textId="77777777" w:rsidR="0039384F" w:rsidRDefault="0039384F" w:rsidP="00C92E59">
                            <w:pPr>
                              <w:pStyle w:val="KIIDbullet1"/>
                              <w:numPr>
                                <w:ilvl w:val="0"/>
                                <w:numId w:val="10"/>
                              </w:numPr>
                              <w:rPr>
                                <w:rFonts w:cs="Arial"/>
                                <w:bCs/>
                                <w:sz w:val="17"/>
                                <w:szCs w:val="17"/>
                                <w:lang w:val="en-GB"/>
                              </w:rPr>
                            </w:pPr>
                            <w:r w:rsidRPr="0039384F">
                              <w:rPr>
                                <w:rFonts w:cs="Arial"/>
                                <w:bCs/>
                                <w:sz w:val="17"/>
                                <w:szCs w:val="17"/>
                                <w:lang w:val="en-GB"/>
                              </w:rPr>
                              <w:t xml:space="preserve">Please note that the tax laws of Ireland may impact your personal tax position. You are advised to seek professional tax advice. </w:t>
                            </w:r>
                          </w:p>
                          <w:p w14:paraId="1A32BDC6" w14:textId="2938FF48" w:rsidR="0039384F" w:rsidRPr="0039384F" w:rsidRDefault="0039384F" w:rsidP="00C92E59">
                            <w:pPr>
                              <w:pStyle w:val="KIIDbullet1"/>
                              <w:numPr>
                                <w:ilvl w:val="0"/>
                                <w:numId w:val="10"/>
                              </w:numPr>
                              <w:rPr>
                                <w:rFonts w:cs="Arial"/>
                                <w:bCs/>
                                <w:sz w:val="17"/>
                                <w:szCs w:val="17"/>
                                <w:lang w:val="en-GB"/>
                              </w:rPr>
                            </w:pPr>
                            <w:r w:rsidRPr="0039384F">
                              <w:rPr>
                                <w:rFonts w:cs="Arial"/>
                                <w:bCs/>
                                <w:sz w:val="17"/>
                                <w:szCs w:val="17"/>
                                <w:lang w:val="en-GB"/>
                              </w:rPr>
                              <w:t xml:space="preserve">The Manager may be held liable solely on the basis of any statement contained in this document that is misleading, inaccurate or inconsistent with the relevant parts of the Prospectus and/or the Supplement. The assets and liabilities of each sub-fund of the Company are segregated by Irish law. </w:t>
                            </w:r>
                          </w:p>
                          <w:p w14:paraId="27A7032A" w14:textId="01439FA2" w:rsidR="0039384F" w:rsidRPr="0039384F" w:rsidRDefault="0039384F" w:rsidP="00C92E59">
                            <w:pPr>
                              <w:pStyle w:val="KIIDbullet1"/>
                              <w:numPr>
                                <w:ilvl w:val="0"/>
                                <w:numId w:val="10"/>
                              </w:numPr>
                              <w:rPr>
                                <w:rFonts w:cs="Arial"/>
                                <w:bCs/>
                                <w:sz w:val="17"/>
                                <w:szCs w:val="17"/>
                                <w:lang w:val="en-GB"/>
                              </w:rPr>
                            </w:pPr>
                            <w:r w:rsidRPr="0039384F">
                              <w:rPr>
                                <w:rFonts w:cs="Arial"/>
                                <w:bCs/>
                                <w:sz w:val="17"/>
                                <w:szCs w:val="17"/>
                                <w:lang w:val="en-GB"/>
                              </w:rPr>
                              <w:t xml:space="preserve">The Manager is authorised in Ireland and regulated by the Central Bank of Ireland. </w:t>
                            </w:r>
                          </w:p>
                          <w:p w14:paraId="509D6007" w14:textId="24B5A057" w:rsidR="005D7254" w:rsidRPr="00ED0F4D" w:rsidRDefault="0039384F" w:rsidP="005F4290">
                            <w:pPr>
                              <w:pStyle w:val="KIIDbullet1"/>
                              <w:numPr>
                                <w:ilvl w:val="0"/>
                                <w:numId w:val="10"/>
                              </w:numPr>
                              <w:rPr>
                                <w:rFonts w:cs="Arial"/>
                                <w:bCs/>
                                <w:sz w:val="17"/>
                                <w:szCs w:val="17"/>
                                <w:lang w:val="en-GB"/>
                              </w:rPr>
                            </w:pPr>
                            <w:bookmarkStart w:id="4" w:name="_Hlk106030897"/>
                            <w:bookmarkStart w:id="5" w:name="_Hlk106030898"/>
                            <w:r w:rsidRPr="00ED0F4D">
                              <w:rPr>
                                <w:rFonts w:cs="Arial"/>
                                <w:bCs/>
                                <w:sz w:val="17"/>
                                <w:szCs w:val="17"/>
                                <w:lang w:val="en-GB"/>
                              </w:rPr>
                              <w:t xml:space="preserve">This key investor information relates to the </w:t>
                            </w:r>
                            <w:r w:rsidR="00ED0F4D" w:rsidRPr="00ED0F4D">
                              <w:rPr>
                                <w:rFonts w:cs="Arial"/>
                                <w:bCs/>
                                <w:sz w:val="17"/>
                                <w:szCs w:val="17"/>
                                <w:lang w:val="en-GB"/>
                              </w:rPr>
                              <w:t>class of shares (of the Fund) referenced in the title of the document.</w:t>
                            </w:r>
                            <w:r w:rsidRPr="00ED0F4D">
                              <w:rPr>
                                <w:rFonts w:cs="Arial"/>
                                <w:bCs/>
                                <w:sz w:val="17"/>
                                <w:szCs w:val="17"/>
                                <w:lang w:val="en-GB"/>
                              </w:rPr>
                              <w:t xml:space="preserve"> More specific information about the Company and the Fund, including how to buy, sell and switch shares, may be found in the Prospectus and the Supplement. The Prospectus, the audited annual report and accounts and the unaudited semi-annual report are prepared for the Company as a whole. </w:t>
                            </w:r>
                            <w:bookmarkEnd w:id="4"/>
                            <w:bookmarkEnd w:id="5"/>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3AE50E" id="_x0000_s1041" type="#_x0000_t202" style="position:absolute;margin-left:237.75pt;margin-top:37pt;width:257.95pt;height:22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" stroked="f">
                <v:textbox>
                  <w:txbxContent>
                    <w:p w14:paraId="0AA6402E" w14:textId="77777777" w:rsidR="0039384F" w:rsidRDefault="0039384F" w:rsidP="00C92E59">
                      <w:pPr>
                        <w:pStyle w:val="KIIDbullet1"/>
                        <w:numPr>
                          <w:ilvl w:val="0"/>
                          <w:numId w:val="10"/>
                        </w:numPr>
                        <w:rPr>
                          <w:rFonts w:cs="Arial"/>
                          <w:bCs/>
                          <w:sz w:val="17"/>
                          <w:szCs w:val="17"/>
                          <w:lang w:val="en-GB"/>
                        </w:rPr>
                      </w:pPr>
                      <w:r w:rsidRPr="0039384F">
                        <w:rPr>
                          <w:rFonts w:cs="Arial"/>
                          <w:bCs/>
                          <w:sz w:val="17"/>
                          <w:szCs w:val="17"/>
                          <w:lang w:val="en-GB"/>
                        </w:rPr>
                        <w:t xml:space="preserve">Please note that the tax laws of Ireland may impact your personal tax position. You are advised to seek professional tax advice. </w:t>
                      </w:r>
                    </w:p>
                    <w:p w14:paraId="1A32BDC6" w14:textId="2938FF48" w:rsidR="0039384F" w:rsidRPr="0039384F" w:rsidRDefault="0039384F" w:rsidP="00C92E59">
                      <w:pPr>
                        <w:pStyle w:val="KIIDbullet1"/>
                        <w:numPr>
                          <w:ilvl w:val="0"/>
                          <w:numId w:val="10"/>
                        </w:numPr>
                        <w:rPr>
                          <w:rFonts w:cs="Arial"/>
                          <w:bCs/>
                          <w:sz w:val="17"/>
                          <w:szCs w:val="17"/>
                          <w:lang w:val="en-GB"/>
                        </w:rPr>
                      </w:pPr>
                      <w:r w:rsidRPr="0039384F">
                        <w:rPr>
                          <w:rFonts w:cs="Arial"/>
                          <w:bCs/>
                          <w:sz w:val="17"/>
                          <w:szCs w:val="17"/>
                          <w:lang w:val="en-GB"/>
                        </w:rPr>
                        <w:t xml:space="preserve">The Manager may be held liable solely </w:t>
                      </w:r>
                      <w:proofErr w:type="gramStart"/>
                      <w:r w:rsidRPr="0039384F">
                        <w:rPr>
                          <w:rFonts w:cs="Arial"/>
                          <w:bCs/>
                          <w:sz w:val="17"/>
                          <w:szCs w:val="17"/>
                          <w:lang w:val="en-GB"/>
                        </w:rPr>
                        <w:t>on the basis of</w:t>
                      </w:r>
                      <w:proofErr w:type="gramEnd"/>
                      <w:r w:rsidRPr="0039384F">
                        <w:rPr>
                          <w:rFonts w:cs="Arial"/>
                          <w:bCs/>
                          <w:sz w:val="17"/>
                          <w:szCs w:val="17"/>
                          <w:lang w:val="en-GB"/>
                        </w:rPr>
                        <w:t xml:space="preserve"> any statement contained in this document that is misleading, inaccurate or inconsistent with the relevant parts of the Prospectus and/or the Supplement. The assets and liabilities of each sub-fund of the Company are segregated by Irish law. </w:t>
                      </w:r>
                    </w:p>
                    <w:p w14:paraId="27A7032A" w14:textId="01439FA2" w:rsidR="0039384F" w:rsidRPr="0039384F" w:rsidRDefault="0039384F" w:rsidP="00C92E59">
                      <w:pPr>
                        <w:pStyle w:val="KIIDbullet1"/>
                        <w:numPr>
                          <w:ilvl w:val="0"/>
                          <w:numId w:val="10"/>
                        </w:numPr>
                        <w:rPr>
                          <w:rFonts w:cs="Arial"/>
                          <w:bCs/>
                          <w:sz w:val="17"/>
                          <w:szCs w:val="17"/>
                          <w:lang w:val="en-GB"/>
                        </w:rPr>
                      </w:pPr>
                      <w:r w:rsidRPr="0039384F">
                        <w:rPr>
                          <w:rFonts w:cs="Arial"/>
                          <w:bCs/>
                          <w:sz w:val="17"/>
                          <w:szCs w:val="17"/>
                          <w:lang w:val="en-GB"/>
                        </w:rPr>
                        <w:t xml:space="preserve">The Manager is authorised in Ireland and regulated by the Central Bank of Ireland. </w:t>
                      </w:r>
                    </w:p>
                    <w:p w14:paraId="509D6007" w14:textId="24B5A057" w:rsidR="005D7254" w:rsidRPr="00ED0F4D" w:rsidRDefault="0039384F" w:rsidP="005F4290">
                      <w:pPr>
                        <w:pStyle w:val="KIIDbullet1"/>
                        <w:numPr>
                          <w:ilvl w:val="0"/>
                          <w:numId w:val="10"/>
                        </w:numPr>
                        <w:rPr>
                          <w:rFonts w:cs="Arial"/>
                          <w:bCs/>
                          <w:sz w:val="17"/>
                          <w:szCs w:val="17"/>
                          <w:lang w:val="en-GB"/>
                        </w:rPr>
                      </w:pPr>
                      <w:bookmarkStart w:id="10" w:name="_Hlk106030897"/>
                      <w:bookmarkStart w:id="11" w:name="_Hlk106030898"/>
                      <w:r w:rsidRPr="00ED0F4D">
                        <w:rPr>
                          <w:rFonts w:cs="Arial"/>
                          <w:bCs/>
                          <w:sz w:val="17"/>
                          <w:szCs w:val="17"/>
                          <w:lang w:val="en-GB"/>
                        </w:rPr>
                        <w:t xml:space="preserve">This key investor information relates to the </w:t>
                      </w:r>
                      <w:r w:rsidR="00ED0F4D" w:rsidRPr="00ED0F4D">
                        <w:rPr>
                          <w:rFonts w:cs="Arial"/>
                          <w:bCs/>
                          <w:sz w:val="17"/>
                          <w:szCs w:val="17"/>
                          <w:lang w:val="en-GB"/>
                        </w:rPr>
                        <w:t>class of shares (of the Fund) referenced in the title of the document.</w:t>
                      </w:r>
                      <w:r w:rsidRPr="00ED0F4D">
                        <w:rPr>
                          <w:rFonts w:cs="Arial"/>
                          <w:bCs/>
                          <w:sz w:val="17"/>
                          <w:szCs w:val="17"/>
                          <w:lang w:val="en-GB"/>
                        </w:rPr>
                        <w:t xml:space="preserve"> More specific information about the Company and the Fund, including how to buy, sell and switch shares, may be found in the Prospectus and the Supplement. The Prospectus, the audited annual report and accounts and the unaudited semi-annual report are prepared for the Company as a whole. </w:t>
                      </w:r>
                      <w:bookmarkEnd w:id="10"/>
                      <w:bookmarkEnd w:id="11"/>
                    </w:p>
                  </w:txbxContent>
                </v:textbox>
              </v:shape>
            </w:pict>
          </mc:Fallback>
        </mc:AlternateContent>
      </w:r>
      <w:r w:rsidR="009A606C">
        <w:rPr>
          <w:noProof/>
          <w:lang w:val="en-GB" w:eastAsia="en-GB"/>
        </w:rPr>
        <mc:AlternateContent>
          <mc:Choice Requires="wps">
            <w:drawing>
              <wp:anchor distT="0" distB="0" distL="114300" distR="114300" simplePos="0" relativeHeight="251656189" behindDoc="0" locked="0" layoutInCell="1" allowOverlap="1" wp14:anchorId="4246B9A2" wp14:editId="6C25A524">
                <wp:simplePos x="0" y="0"/>
                <wp:positionH relativeFrom="column">
                  <wp:posOffset>-314325</wp:posOffset>
                </wp:positionH>
                <wp:positionV relativeFrom="paragraph">
                  <wp:posOffset>3312795</wp:posOffset>
                </wp:positionV>
                <wp:extent cx="6927850" cy="1476375"/>
                <wp:effectExtent l="0" t="0" r="0"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0" cy="1476375"/>
                        </a:xfrm>
                        <a:prstGeom prst="rect">
                          <a:avLst/>
                        </a:prstGeom>
                        <a:noFill/>
                        <a:ln>
                          <a:noFill/>
                        </a:ln>
                        <a:extLst>
                          <a:ext uri="{909E8E84-426E-40DD-AFC4-6F175D3DCCD1}">
                            <a14:hiddenFill xmlns:a14="http://schemas.microsoft.com/office/drawing/2010/main">
                              <a:solidFill>
                                <a:srgbClr val="CCE1DA"/>
                              </a:solidFill>
                            </a14:hiddenFill>
                          </a:ext>
                          <a:ext uri="{91240B29-F687-4F45-9708-019B960494DF}">
                            <a14:hiddenLine xmlns:a14="http://schemas.microsoft.com/office/drawing/2010/main" w="9525">
                              <a:solidFill>
                                <a:srgbClr val="006747"/>
                              </a:solidFill>
                              <a:miter lim="800000"/>
                              <a:headEnd/>
                              <a:tailEnd/>
                            </a14:hiddenLine>
                          </a:ext>
                        </a:extLst>
                      </wps:spPr>
                      <wps:txbx>
                        <w:txbxContent>
                          <w:p w14:paraId="53899718" w14:textId="77777777" w:rsidR="003152B0" w:rsidRDefault="003152B0" w:rsidP="003152B0">
                            <w:pPr>
                              <w:spacing w:line="200" w:lineRule="exact"/>
                              <w:jc w:val="left"/>
                              <w:rPr>
                                <w:rFonts w:cs="Arial"/>
                                <w:bCs/>
                                <w:color w:val="A6A6A6"/>
                                <w:sz w:val="14"/>
                                <w:szCs w:val="14"/>
                                <w:lang w:val="en-GB"/>
                              </w:rPr>
                            </w:pPr>
                            <w:r>
                              <w:rPr>
                                <w:rFonts w:cs="Arial"/>
                                <w:bCs/>
                                <w:color w:val="A6A6A6"/>
                                <w:sz w:val="14"/>
                                <w:szCs w:val="14"/>
                                <w:lang w:val="en-GB"/>
                              </w:rPr>
                              <w:t>Information required, to the extent applicable, for Distribution of Foreign Collective Investment Schemes to Qualified Investors in Switzerland: The representative in Switzerland is Acolin Fund Services AG, Leutschenbachstrasse 50, CH-8050 Zurich, Switzerland. The distribution of Shares of the relevant CQS Fund in Switzerland will be exclusively made to, and directed at, qualified investors (the “Qualified Investors”), as defined in the Swiss Collective Investment Schemes Act of 23 June 2006, as amended (“CISA”) and its implementing ordinance (the “Swiss Distribution Rules”). Accordingly, the relevant CQS Fund has not been and will not be registered with the Swiss Financial Market Supervisory Authority ("FINMA"). The paying agent in Switzerland is Aquila &amp; Co. AG, Bahnhofstrasse 28a, CH-8001, Zurich, Switzerland. The</w:t>
                            </w:r>
                          </w:p>
                          <w:p w14:paraId="60765772" w14:textId="77777777" w:rsidR="003152B0" w:rsidRDefault="003152B0" w:rsidP="003152B0">
                            <w:pPr>
                              <w:spacing w:line="200" w:lineRule="exact"/>
                              <w:jc w:val="left"/>
                              <w:rPr>
                                <w:rFonts w:cs="Arial"/>
                                <w:bCs/>
                                <w:color w:val="A6A6A6"/>
                                <w:sz w:val="14"/>
                                <w:szCs w:val="14"/>
                                <w:lang w:val="en-GB"/>
                              </w:rPr>
                            </w:pPr>
                            <w:r>
                              <w:rPr>
                                <w:rFonts w:cs="Arial"/>
                                <w:bCs/>
                                <w:color w:val="A6A6A6"/>
                                <w:sz w:val="14"/>
                                <w:szCs w:val="14"/>
                                <w:lang w:val="en-GB"/>
                              </w:rPr>
                              <w:t>relevant Offering Document and all other documents used for marketing purposes, including the annual and semi annual report, if any, can be obtained free of charge from the representative in Switzerland. The place of performance and jurisdiction is the registered office of the representative in Switzerland with regards to the Shares distributed in and from Switzerland. CQS (UK) LLP (as the distributor in Switzerland) and its agents do not pay any retrocessions to third parties in relation</w:t>
                            </w:r>
                          </w:p>
                          <w:p w14:paraId="3705A78D" w14:textId="70CDC782" w:rsidR="003152B0" w:rsidRDefault="003152B0" w:rsidP="003152B0">
                            <w:pPr>
                              <w:spacing w:line="200" w:lineRule="exact"/>
                              <w:jc w:val="left"/>
                              <w:rPr>
                                <w:rFonts w:cs="Arial"/>
                                <w:color w:val="A6A6A6"/>
                                <w:sz w:val="14"/>
                                <w:szCs w:val="14"/>
                              </w:rPr>
                            </w:pPr>
                            <w:r>
                              <w:rPr>
                                <w:rFonts w:cs="Arial"/>
                                <w:bCs/>
                                <w:color w:val="A6A6A6"/>
                                <w:sz w:val="14"/>
                                <w:szCs w:val="14"/>
                                <w:lang w:val="en-GB"/>
                              </w:rPr>
                              <w:t>to the distribution of the Shares of the relevant CQS Fund in or from Switzerland. CQS (UK) LLP (as the distributor in Switzerland) and its agents do not pay any rebates aiming at reducing fees and expenses paid by the relevant CQS Fund and incurred by the investors.</w:t>
                            </w:r>
                            <w:r>
                              <w:rPr>
                                <w:rFonts w:cs="Arial"/>
                                <w:color w:val="A6A6A6"/>
                                <w:sz w:val="14"/>
                                <w:szCs w:val="14"/>
                              </w:rPr>
                              <w:t xml:space="preserve">The Company is authorised in Ireland and regulated by the Central Bank of Ireland. This key investor information is accurate as at </w:t>
                            </w:r>
                            <w:r w:rsidR="00E25BD7">
                              <w:rPr>
                                <w:rFonts w:cs="Arial"/>
                                <w:b/>
                                <w:bCs/>
                                <w:color w:val="A6A6A6"/>
                                <w:sz w:val="14"/>
                                <w:szCs w:val="14"/>
                                <w:lang w:val="en-GB"/>
                              </w:rPr>
                              <w:t>12 September 2022</w:t>
                            </w:r>
                          </w:p>
                          <w:p w14:paraId="41D22610" w14:textId="7C0B2B50" w:rsidR="005D7254" w:rsidRPr="00F1704F" w:rsidRDefault="005D7254" w:rsidP="005D7254">
                            <w:pPr>
                              <w:spacing w:line="200" w:lineRule="exact"/>
                              <w:jc w:val="left"/>
                              <w:rPr>
                                <w:rFonts w:cs="Arial"/>
                                <w:color w:val="A6A6A6"/>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46B9A2" id="Text Box 15" o:spid="_x0000_s1042" type="#_x0000_t202" style="position:absolute;margin-left:-24.75pt;margin-top:260.85pt;width:545.5pt;height:116.25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" filled="f" fillcolor="#cce1da" stroked="f" strokecolor="#006747">
                <v:textbox>
                  <w:txbxContent>
                    <w:p w14:paraId="53899718" w14:textId="77777777" w:rsidR="003152B0" w:rsidRDefault="003152B0" w:rsidP="003152B0">
                      <w:pPr>
                        <w:spacing w:line="200" w:lineRule="exact"/>
                        <w:jc w:val="left"/>
                        <w:rPr>
                          <w:rFonts w:cs="Arial"/>
                          <w:bCs/>
                          <w:color w:val="A6A6A6"/>
                          <w:sz w:val="14"/>
                          <w:szCs w:val="14"/>
                          <w:lang w:val="en-GB"/>
                        </w:rPr>
                      </w:pPr>
                      <w:r>
                        <w:rPr>
                          <w:rFonts w:cs="Arial"/>
                          <w:bCs/>
                          <w:color w:val="A6A6A6"/>
                          <w:sz w:val="14"/>
                          <w:szCs w:val="14"/>
                          <w:lang w:val="en-GB"/>
                        </w:rPr>
                        <w:t>Information required, to the extent applicable, for Distribution of Foreign Collective Investment Schemes to Qualified Investors in Switzerland: The representative in Switzerland is Acolin Fund Services AG, Leutschenbachstrasse 50, CH-8050 Zurich, Switzerland. The distribution of Shares of the relevant CQS Fund in Switzerland will be exclusively made to, and directed at, qualified investors (the “Qualified Investors”), as defined in the Swiss Collective Investment Schemes Act of 23 June 2006, as amended (“CISA”) and its implementing ordinance (the “Swiss Distribution Rules”). Accordingly, the relevant CQS Fund has not been and will not be registered with the Swiss Financial Market Supervisory Authority ("FINMA"). The paying agent in Switzerland is Aquila &amp; Co. AG, Bahnhofstrasse 28a, CH-8001, Zurich, Switzerland. The</w:t>
                      </w:r>
                    </w:p>
                    <w:p w14:paraId="60765772" w14:textId="77777777" w:rsidR="003152B0" w:rsidRDefault="003152B0" w:rsidP="003152B0">
                      <w:pPr>
                        <w:spacing w:line="200" w:lineRule="exact"/>
                        <w:jc w:val="left"/>
                        <w:rPr>
                          <w:rFonts w:cs="Arial"/>
                          <w:bCs/>
                          <w:color w:val="A6A6A6"/>
                          <w:sz w:val="14"/>
                          <w:szCs w:val="14"/>
                          <w:lang w:val="en-GB"/>
                        </w:rPr>
                      </w:pPr>
                      <w:r>
                        <w:rPr>
                          <w:rFonts w:cs="Arial"/>
                          <w:bCs/>
                          <w:color w:val="A6A6A6"/>
                          <w:sz w:val="14"/>
                          <w:szCs w:val="14"/>
                          <w:lang w:val="en-GB"/>
                        </w:rPr>
                        <w:t>relevant Offering Document and all other documents used for marketing purposes, including the annual and semi annual report, if any, can be obtained free of charge from the representative in Switzerland. The place of performance and jurisdiction is the registered office of the representative in Switzerland with regards to the Shares distributed in and from Switzerland. CQS (UK) LLP (as the distributor in Switzerland) and its agents do not pay any retrocessions to third parties in relation</w:t>
                      </w:r>
                    </w:p>
                    <w:p w14:paraId="3705A78D" w14:textId="70CDC782" w:rsidR="003152B0" w:rsidRDefault="003152B0" w:rsidP="003152B0">
                      <w:pPr>
                        <w:spacing w:line="200" w:lineRule="exact"/>
                        <w:jc w:val="left"/>
                        <w:rPr>
                          <w:rFonts w:cs="Arial"/>
                          <w:color w:val="A6A6A6"/>
                          <w:sz w:val="14"/>
                          <w:szCs w:val="14"/>
                        </w:rPr>
                      </w:pPr>
                      <w:r>
                        <w:rPr>
                          <w:rFonts w:cs="Arial"/>
                          <w:bCs/>
                          <w:color w:val="A6A6A6"/>
                          <w:sz w:val="14"/>
                          <w:szCs w:val="14"/>
                          <w:lang w:val="en-GB"/>
                        </w:rPr>
                        <w:t>to the distribution of the Shares of the relevant CQS Fund in or from Switzerland. CQS (UK) LLP (as the distributor in Switzerland) and its agents do not pay any rebates aiming at reducing fees and expenses paid by the relevant CQS Fund and incurred by the investors.</w:t>
                      </w:r>
                      <w:r>
                        <w:rPr>
                          <w:rFonts w:cs="Arial"/>
                          <w:color w:val="A6A6A6"/>
                          <w:sz w:val="14"/>
                          <w:szCs w:val="14"/>
                        </w:rPr>
                        <w:t xml:space="preserve">The Company is authorised in Ireland and regulated by the Central Bank of Ireland. This key investor information is accurate as at </w:t>
                      </w:r>
                      <w:r w:rsidR="00E25BD7">
                        <w:rPr>
                          <w:rFonts w:cs="Arial"/>
                          <w:b/>
                          <w:bCs/>
                          <w:color w:val="A6A6A6"/>
                          <w:sz w:val="14"/>
                          <w:szCs w:val="14"/>
                          <w:lang w:val="en-GB"/>
                        </w:rPr>
                        <w:t>12 September 2022</w:t>
                      </w:r>
                    </w:p>
                    <w:p w14:paraId="41D22610" w14:textId="7C0B2B50" w:rsidR="005D7254" w:rsidRPr="00F1704F" w:rsidRDefault="005D7254" w:rsidP="005D7254">
                      <w:pPr>
                        <w:spacing w:line="200" w:lineRule="exact"/>
                        <w:jc w:val="left"/>
                        <w:rPr>
                          <w:rFonts w:cs="Arial"/>
                          <w:color w:val="A6A6A6"/>
                          <w:sz w:val="14"/>
                          <w:szCs w:val="14"/>
                        </w:rPr>
                      </w:pPr>
                    </w:p>
                  </w:txbxContent>
                </v:textbox>
              </v:shape>
            </w:pict>
          </mc:Fallback>
        </mc:AlternateContent>
      </w:r>
      <w:r w:rsidR="009A606C">
        <w:rPr>
          <w:noProof/>
          <w:lang w:val="en-GB" w:eastAsia="en-GB"/>
        </w:rPr>
        <mc:AlternateContent>
          <mc:Choice Requires="wps">
            <w:drawing>
              <wp:anchor distT="0" distB="0" distL="114300" distR="114300" simplePos="0" relativeHeight="251693056" behindDoc="0" locked="0" layoutInCell="1" allowOverlap="1" wp14:anchorId="49686F48" wp14:editId="57A5DDF9">
                <wp:simplePos x="0" y="0"/>
                <wp:positionH relativeFrom="column">
                  <wp:posOffset>-463550</wp:posOffset>
                </wp:positionH>
                <wp:positionV relativeFrom="paragraph">
                  <wp:posOffset>704215</wp:posOffset>
                </wp:positionV>
                <wp:extent cx="3359150" cy="2660650"/>
                <wp:effectExtent l="0" t="0" r="0" b="63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0" cy="2660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F27AA9" w14:textId="66FA9BB2" w:rsidR="0039384F" w:rsidRPr="0039384F" w:rsidRDefault="0039384F" w:rsidP="00C92E59">
                            <w:pPr>
                              <w:pStyle w:val="KIIDbullet1"/>
                              <w:spacing w:after="80"/>
                              <w:ind w:left="360"/>
                              <w:rPr>
                                <w:rFonts w:cs="Arial"/>
                                <w:bCs/>
                                <w:sz w:val="17"/>
                                <w:szCs w:val="17"/>
                                <w:lang w:val="en-GB"/>
                              </w:rPr>
                            </w:pPr>
                            <w:r w:rsidRPr="0039384F">
                              <w:rPr>
                                <w:rFonts w:cs="Arial"/>
                                <w:bCs/>
                                <w:sz w:val="17"/>
                                <w:szCs w:val="17"/>
                                <w:lang w:val="en-GB"/>
                              </w:rPr>
                              <w:t xml:space="preserve">A copy of the Company’s Remuneration Policy can be found at </w:t>
                            </w:r>
                            <w:hyperlink r:id="rId15" w:history="1">
                              <w:r w:rsidR="00195BC5" w:rsidRPr="009A7E89">
                                <w:rPr>
                                  <w:rStyle w:val="Hyperlink"/>
                                  <w:rFonts w:cs="Arial"/>
                                  <w:bCs/>
                                  <w:sz w:val="17"/>
                                  <w:szCs w:val="17"/>
                                  <w:lang w:val="en-GB"/>
                                </w:rPr>
                                <w:t>https://www.cqs.com/documents/regulatory-disclosures/cqs_ucits_remuneration_policy.pdf</w:t>
                              </w:r>
                            </w:hyperlink>
                            <w:r w:rsidR="00195BC5">
                              <w:rPr>
                                <w:rFonts w:cs="Arial"/>
                                <w:bCs/>
                                <w:sz w:val="17"/>
                                <w:szCs w:val="17"/>
                                <w:lang w:val="en-GB"/>
                              </w:rPr>
                              <w:t xml:space="preserve"> </w:t>
                            </w:r>
                          </w:p>
                          <w:p w14:paraId="13585DF8" w14:textId="629D86E5" w:rsidR="0039384F" w:rsidRPr="0039384F" w:rsidRDefault="0039384F" w:rsidP="00C92E59">
                            <w:pPr>
                              <w:pStyle w:val="KIIDbullet1"/>
                              <w:spacing w:after="80"/>
                              <w:ind w:left="360"/>
                              <w:rPr>
                                <w:rFonts w:cs="Arial"/>
                                <w:bCs/>
                                <w:sz w:val="17"/>
                                <w:szCs w:val="17"/>
                                <w:lang w:val="en-GB"/>
                              </w:rPr>
                            </w:pPr>
                            <w:r w:rsidRPr="0039384F">
                              <w:rPr>
                                <w:rFonts w:cs="Arial"/>
                                <w:bCs/>
                                <w:sz w:val="17"/>
                                <w:szCs w:val="17"/>
                                <w:lang w:val="en-GB"/>
                              </w:rPr>
                              <w:t xml:space="preserve">Details of the remuneration policy of the Manager are available at </w:t>
                            </w:r>
                            <w:hyperlink r:id="rId16" w:history="1">
                              <w:r w:rsidR="00195BC5" w:rsidRPr="009A7E89">
                                <w:rPr>
                                  <w:rStyle w:val="Hyperlink"/>
                                  <w:rFonts w:cs="Arial"/>
                                  <w:bCs/>
                                  <w:sz w:val="17"/>
                                  <w:szCs w:val="17"/>
                                  <w:lang w:val="en-GB"/>
                                </w:rPr>
                                <w:t>https://kbassociates.ie</w:t>
                              </w:r>
                            </w:hyperlink>
                            <w:r w:rsidR="00195BC5">
                              <w:rPr>
                                <w:rFonts w:cs="Arial"/>
                                <w:bCs/>
                                <w:sz w:val="17"/>
                                <w:szCs w:val="17"/>
                                <w:lang w:val="en-GB"/>
                              </w:rPr>
                              <w:t xml:space="preserve"> </w:t>
                            </w:r>
                            <w:r w:rsidRPr="0039384F">
                              <w:rPr>
                                <w:rFonts w:cs="Arial"/>
                                <w:bCs/>
                                <w:sz w:val="17"/>
                                <w:szCs w:val="17"/>
                                <w:lang w:val="en-GB"/>
                              </w:rPr>
                              <w:t xml:space="preserve"> A paper copy of the remuneration policy will be made available free of charge upon request. </w:t>
                            </w:r>
                          </w:p>
                          <w:p w14:paraId="4019ABE4" w14:textId="1EA520E6" w:rsidR="0039384F" w:rsidRPr="0039384F" w:rsidRDefault="0039384F" w:rsidP="00C92E59">
                            <w:pPr>
                              <w:pStyle w:val="KIIDbullet1"/>
                              <w:spacing w:after="80"/>
                              <w:ind w:left="360"/>
                              <w:rPr>
                                <w:rFonts w:cs="Arial"/>
                                <w:bCs/>
                                <w:sz w:val="17"/>
                                <w:szCs w:val="17"/>
                                <w:lang w:val="en-GB"/>
                              </w:rPr>
                            </w:pPr>
                            <w:r w:rsidRPr="0039384F">
                              <w:rPr>
                                <w:rFonts w:cs="Arial"/>
                                <w:bCs/>
                                <w:sz w:val="17"/>
                                <w:szCs w:val="17"/>
                                <w:lang w:val="en-GB"/>
                              </w:rPr>
                              <w:t xml:space="preserve">The Depositary is BNP Paribas Securities Services, Dublin Branch. </w:t>
                            </w:r>
                          </w:p>
                          <w:p w14:paraId="33E41788" w14:textId="2CA37201" w:rsidR="0039384F" w:rsidRPr="0039384F" w:rsidRDefault="0039384F" w:rsidP="00C92E59">
                            <w:pPr>
                              <w:pStyle w:val="KIIDbullet1"/>
                              <w:spacing w:after="80"/>
                              <w:ind w:left="360"/>
                              <w:rPr>
                                <w:rFonts w:cs="Arial"/>
                                <w:bCs/>
                                <w:sz w:val="17"/>
                                <w:szCs w:val="17"/>
                                <w:lang w:val="en-GB"/>
                              </w:rPr>
                            </w:pPr>
                            <w:r w:rsidRPr="0039384F">
                              <w:rPr>
                                <w:rFonts w:cs="Arial"/>
                                <w:bCs/>
                                <w:sz w:val="17"/>
                                <w:szCs w:val="17"/>
                                <w:lang w:val="en-GB"/>
                              </w:rPr>
                              <w:t xml:space="preserve">Information about the Fund and copies of the Prospectus, the Supplement, the latest audited annual report and accounts and any subsequent unaudited semi-annual report may be obtained in English, free of charge from the administrator, BNP Paribas Fund Administration Services (Ireland) Limited (the </w:t>
                            </w:r>
                            <w:r w:rsidRPr="0039384F">
                              <w:rPr>
                                <w:rFonts w:cs="Arial"/>
                                <w:b/>
                                <w:bCs/>
                                <w:sz w:val="17"/>
                                <w:szCs w:val="17"/>
                                <w:lang w:val="en-GB"/>
                              </w:rPr>
                              <w:t>Administrator</w:t>
                            </w:r>
                            <w:r w:rsidRPr="0039384F">
                              <w:rPr>
                                <w:rFonts w:cs="Arial"/>
                                <w:bCs/>
                                <w:sz w:val="17"/>
                                <w:szCs w:val="17"/>
                                <w:lang w:val="en-GB"/>
                              </w:rPr>
                              <w:t xml:space="preserve">) or the investment manager, CQS (UK) LLP. </w:t>
                            </w:r>
                          </w:p>
                          <w:p w14:paraId="50677DBE" w14:textId="5C26E43A" w:rsidR="0039384F" w:rsidRPr="0039384F" w:rsidRDefault="0039384F" w:rsidP="00C92E59">
                            <w:pPr>
                              <w:pStyle w:val="KIIDbullet1"/>
                              <w:spacing w:after="80"/>
                              <w:ind w:left="360"/>
                              <w:rPr>
                                <w:rFonts w:cs="Arial"/>
                                <w:bCs/>
                                <w:sz w:val="17"/>
                                <w:szCs w:val="17"/>
                                <w:lang w:val="en-GB"/>
                              </w:rPr>
                            </w:pPr>
                            <w:r w:rsidRPr="0039384F">
                              <w:rPr>
                                <w:rFonts w:cs="Arial"/>
                                <w:bCs/>
                                <w:sz w:val="17"/>
                                <w:szCs w:val="17"/>
                                <w:lang w:val="en-GB"/>
                              </w:rPr>
                              <w:t>Up</w:t>
                            </w:r>
                            <w:r w:rsidR="00E658A2">
                              <w:rPr>
                                <w:rFonts w:cs="Arial"/>
                                <w:bCs/>
                                <w:sz w:val="17"/>
                                <w:szCs w:val="17"/>
                                <w:lang w:val="en-GB"/>
                              </w:rPr>
                              <w:t>-</w:t>
                            </w:r>
                            <w:r w:rsidRPr="0039384F">
                              <w:rPr>
                                <w:rFonts w:cs="Arial"/>
                                <w:bCs/>
                                <w:sz w:val="17"/>
                                <w:szCs w:val="17"/>
                                <w:lang w:val="en-GB"/>
                              </w:rPr>
                              <w:t>to</w:t>
                            </w:r>
                            <w:r w:rsidR="00E658A2">
                              <w:rPr>
                                <w:rFonts w:cs="Arial"/>
                                <w:bCs/>
                                <w:sz w:val="17"/>
                                <w:szCs w:val="17"/>
                                <w:lang w:val="en-GB"/>
                              </w:rPr>
                              <w:t>-</w:t>
                            </w:r>
                            <w:r w:rsidRPr="0039384F">
                              <w:rPr>
                                <w:rFonts w:cs="Arial"/>
                                <w:bCs/>
                                <w:sz w:val="17"/>
                                <w:szCs w:val="17"/>
                                <w:lang w:val="en-GB"/>
                              </w:rPr>
                              <w:t xml:space="preserve">date subscription and redemption prices may be obtained from the Administrator. </w:t>
                            </w:r>
                          </w:p>
                          <w:p w14:paraId="4FD794F9" w14:textId="77777777" w:rsidR="007E0AFC" w:rsidRPr="00A32750" w:rsidRDefault="007E0AFC">
                            <w:pPr>
                              <w:pStyle w:val="KIIDbullet1"/>
                              <w:numPr>
                                <w:ilvl w:val="0"/>
                                <w:numId w:val="0"/>
                              </w:numPr>
                              <w:spacing w:after="80"/>
                              <w:rPr>
                                <w:rFonts w:cs="Arial"/>
                                <w:bCs/>
                                <w:sz w:val="17"/>
                                <w:szCs w:val="17"/>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686F48" id="_x0000_s1043" type="#_x0000_t202" style="position:absolute;margin-left:-36.5pt;margin-top:55.45pt;width:264.5pt;height:20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" stroked="f">
                <v:textbox>
                  <w:txbxContent>
                    <w:p w14:paraId="0AF27AA9" w14:textId="66FA9BB2" w:rsidR="0039384F" w:rsidRPr="0039384F" w:rsidRDefault="0039384F" w:rsidP="00C92E59">
                      <w:pPr>
                        <w:pStyle w:val="KIIDbullet1"/>
                        <w:spacing w:after="80"/>
                        <w:ind w:left="360"/>
                        <w:rPr>
                          <w:rFonts w:cs="Arial"/>
                          <w:bCs/>
                          <w:sz w:val="17"/>
                          <w:szCs w:val="17"/>
                          <w:lang w:val="en-GB"/>
                        </w:rPr>
                      </w:pPr>
                      <w:r w:rsidRPr="0039384F">
                        <w:rPr>
                          <w:rFonts w:cs="Arial"/>
                          <w:bCs/>
                          <w:sz w:val="17"/>
                          <w:szCs w:val="17"/>
                          <w:lang w:val="en-GB"/>
                        </w:rPr>
                        <w:t xml:space="preserve">A copy of the Company’s Remuneration Policy can be found at </w:t>
                      </w:r>
                      <w:hyperlink r:id="rId17" w:history="1">
                        <w:r w:rsidR="00195BC5" w:rsidRPr="009A7E89">
                          <w:rPr>
                            <w:rStyle w:val="Hyperlink"/>
                            <w:rFonts w:cs="Arial"/>
                            <w:bCs/>
                            <w:sz w:val="17"/>
                            <w:szCs w:val="17"/>
                            <w:lang w:val="en-GB"/>
                          </w:rPr>
                          <w:t>https://www.cqs.com/documents/regulatory-disclosures/cqs_ucits_remuneration_policy.pdf</w:t>
                        </w:r>
                      </w:hyperlink>
                      <w:r w:rsidR="00195BC5">
                        <w:rPr>
                          <w:rFonts w:cs="Arial"/>
                          <w:bCs/>
                          <w:sz w:val="17"/>
                          <w:szCs w:val="17"/>
                          <w:lang w:val="en-GB"/>
                        </w:rPr>
                        <w:t xml:space="preserve"> </w:t>
                      </w:r>
                    </w:p>
                    <w:p w14:paraId="13585DF8" w14:textId="629D86E5" w:rsidR="0039384F" w:rsidRPr="0039384F" w:rsidRDefault="0039384F" w:rsidP="00C92E59">
                      <w:pPr>
                        <w:pStyle w:val="KIIDbullet1"/>
                        <w:spacing w:after="80"/>
                        <w:ind w:left="360"/>
                        <w:rPr>
                          <w:rFonts w:cs="Arial"/>
                          <w:bCs/>
                          <w:sz w:val="17"/>
                          <w:szCs w:val="17"/>
                          <w:lang w:val="en-GB"/>
                        </w:rPr>
                      </w:pPr>
                      <w:r w:rsidRPr="0039384F">
                        <w:rPr>
                          <w:rFonts w:cs="Arial"/>
                          <w:bCs/>
                          <w:sz w:val="17"/>
                          <w:szCs w:val="17"/>
                          <w:lang w:val="en-GB"/>
                        </w:rPr>
                        <w:t xml:space="preserve">Details of the remuneration policy of the Manager are available at </w:t>
                      </w:r>
                      <w:hyperlink r:id="rId18" w:history="1">
                        <w:r w:rsidR="00195BC5" w:rsidRPr="009A7E89">
                          <w:rPr>
                            <w:rStyle w:val="Hyperlink"/>
                            <w:rFonts w:cs="Arial"/>
                            <w:bCs/>
                            <w:sz w:val="17"/>
                            <w:szCs w:val="17"/>
                            <w:lang w:val="en-GB"/>
                          </w:rPr>
                          <w:t>https://kbassociates.ie</w:t>
                        </w:r>
                      </w:hyperlink>
                      <w:r w:rsidR="00195BC5">
                        <w:rPr>
                          <w:rFonts w:cs="Arial"/>
                          <w:bCs/>
                          <w:sz w:val="17"/>
                          <w:szCs w:val="17"/>
                          <w:lang w:val="en-GB"/>
                        </w:rPr>
                        <w:t xml:space="preserve"> </w:t>
                      </w:r>
                      <w:r w:rsidRPr="0039384F">
                        <w:rPr>
                          <w:rFonts w:cs="Arial"/>
                          <w:bCs/>
                          <w:sz w:val="17"/>
                          <w:szCs w:val="17"/>
                          <w:lang w:val="en-GB"/>
                        </w:rPr>
                        <w:t xml:space="preserve"> A paper copy of the remuneration policy will be made available free of charge upon request. </w:t>
                      </w:r>
                    </w:p>
                    <w:p w14:paraId="4019ABE4" w14:textId="1EA520E6" w:rsidR="0039384F" w:rsidRPr="0039384F" w:rsidRDefault="0039384F" w:rsidP="00C92E59">
                      <w:pPr>
                        <w:pStyle w:val="KIIDbullet1"/>
                        <w:spacing w:after="80"/>
                        <w:ind w:left="360"/>
                        <w:rPr>
                          <w:rFonts w:cs="Arial"/>
                          <w:bCs/>
                          <w:sz w:val="17"/>
                          <w:szCs w:val="17"/>
                          <w:lang w:val="en-GB"/>
                        </w:rPr>
                      </w:pPr>
                      <w:r w:rsidRPr="0039384F">
                        <w:rPr>
                          <w:rFonts w:cs="Arial"/>
                          <w:bCs/>
                          <w:sz w:val="17"/>
                          <w:szCs w:val="17"/>
                          <w:lang w:val="en-GB"/>
                        </w:rPr>
                        <w:t xml:space="preserve">The Depositary is BNP Paribas Securities Services, Dublin Branch. </w:t>
                      </w:r>
                    </w:p>
                    <w:p w14:paraId="33E41788" w14:textId="2CA37201" w:rsidR="0039384F" w:rsidRPr="0039384F" w:rsidRDefault="0039384F" w:rsidP="00C92E59">
                      <w:pPr>
                        <w:pStyle w:val="KIIDbullet1"/>
                        <w:spacing w:after="80"/>
                        <w:ind w:left="360"/>
                        <w:rPr>
                          <w:rFonts w:cs="Arial"/>
                          <w:bCs/>
                          <w:sz w:val="17"/>
                          <w:szCs w:val="17"/>
                          <w:lang w:val="en-GB"/>
                        </w:rPr>
                      </w:pPr>
                      <w:r w:rsidRPr="0039384F">
                        <w:rPr>
                          <w:rFonts w:cs="Arial"/>
                          <w:bCs/>
                          <w:sz w:val="17"/>
                          <w:szCs w:val="17"/>
                          <w:lang w:val="en-GB"/>
                        </w:rPr>
                        <w:t xml:space="preserve">Information about the Fund and copies of the Prospectus, the Supplement, the latest audited annual report and accounts and any subsequent unaudited semi-annual report may be obtained in English, free of charge from the administrator, BNP Paribas Fund Administration Services (Ireland) Limited (the </w:t>
                      </w:r>
                      <w:r w:rsidRPr="0039384F">
                        <w:rPr>
                          <w:rFonts w:cs="Arial"/>
                          <w:b/>
                          <w:bCs/>
                          <w:sz w:val="17"/>
                          <w:szCs w:val="17"/>
                          <w:lang w:val="en-GB"/>
                        </w:rPr>
                        <w:t>Administrator</w:t>
                      </w:r>
                      <w:r w:rsidRPr="0039384F">
                        <w:rPr>
                          <w:rFonts w:cs="Arial"/>
                          <w:bCs/>
                          <w:sz w:val="17"/>
                          <w:szCs w:val="17"/>
                          <w:lang w:val="en-GB"/>
                        </w:rPr>
                        <w:t xml:space="preserve">) or the investment manager, CQS (UK) LLP. </w:t>
                      </w:r>
                    </w:p>
                    <w:p w14:paraId="50677DBE" w14:textId="5C26E43A" w:rsidR="0039384F" w:rsidRPr="0039384F" w:rsidRDefault="0039384F" w:rsidP="00C92E59">
                      <w:pPr>
                        <w:pStyle w:val="KIIDbullet1"/>
                        <w:spacing w:after="80"/>
                        <w:ind w:left="360"/>
                        <w:rPr>
                          <w:rFonts w:cs="Arial"/>
                          <w:bCs/>
                          <w:sz w:val="17"/>
                          <w:szCs w:val="17"/>
                          <w:lang w:val="en-GB"/>
                        </w:rPr>
                      </w:pPr>
                      <w:r w:rsidRPr="0039384F">
                        <w:rPr>
                          <w:rFonts w:cs="Arial"/>
                          <w:bCs/>
                          <w:sz w:val="17"/>
                          <w:szCs w:val="17"/>
                          <w:lang w:val="en-GB"/>
                        </w:rPr>
                        <w:t>Up</w:t>
                      </w:r>
                      <w:r w:rsidR="00E658A2">
                        <w:rPr>
                          <w:rFonts w:cs="Arial"/>
                          <w:bCs/>
                          <w:sz w:val="17"/>
                          <w:szCs w:val="17"/>
                          <w:lang w:val="en-GB"/>
                        </w:rPr>
                        <w:t>-</w:t>
                      </w:r>
                      <w:r w:rsidRPr="0039384F">
                        <w:rPr>
                          <w:rFonts w:cs="Arial"/>
                          <w:bCs/>
                          <w:sz w:val="17"/>
                          <w:szCs w:val="17"/>
                          <w:lang w:val="en-GB"/>
                        </w:rPr>
                        <w:t>to</w:t>
                      </w:r>
                      <w:r w:rsidR="00E658A2">
                        <w:rPr>
                          <w:rFonts w:cs="Arial"/>
                          <w:bCs/>
                          <w:sz w:val="17"/>
                          <w:szCs w:val="17"/>
                          <w:lang w:val="en-GB"/>
                        </w:rPr>
                        <w:t>-</w:t>
                      </w:r>
                      <w:r w:rsidRPr="0039384F">
                        <w:rPr>
                          <w:rFonts w:cs="Arial"/>
                          <w:bCs/>
                          <w:sz w:val="17"/>
                          <w:szCs w:val="17"/>
                          <w:lang w:val="en-GB"/>
                        </w:rPr>
                        <w:t xml:space="preserve">date subscription and redemption prices may be obtained from the Administrator. </w:t>
                      </w:r>
                    </w:p>
                    <w:p w14:paraId="4FD794F9" w14:textId="77777777" w:rsidR="007E0AFC" w:rsidRPr="00A32750" w:rsidRDefault="007E0AFC">
                      <w:pPr>
                        <w:pStyle w:val="KIIDbullet1"/>
                        <w:numPr>
                          <w:ilvl w:val="0"/>
                          <w:numId w:val="0"/>
                        </w:numPr>
                        <w:spacing w:after="80"/>
                        <w:rPr>
                          <w:rFonts w:cs="Arial"/>
                          <w:bCs/>
                          <w:sz w:val="17"/>
                          <w:szCs w:val="17"/>
                          <w:lang w:val="en-GB"/>
                        </w:rPr>
                      </w:pPr>
                    </w:p>
                  </w:txbxContent>
                </v:textbox>
              </v:shape>
            </w:pict>
          </mc:Fallback>
        </mc:AlternateContent>
      </w:r>
      <w:r w:rsidR="009A606C">
        <w:rPr>
          <w:noProof/>
          <w:lang w:val="en-GB" w:eastAsia="en-GB"/>
        </w:rPr>
        <mc:AlternateContent>
          <mc:Choice Requires="wps">
            <w:drawing>
              <wp:anchor distT="0" distB="0" distL="114300" distR="114300" simplePos="0" relativeHeight="251688960" behindDoc="0" locked="0" layoutInCell="1" allowOverlap="1" wp14:anchorId="05C78577" wp14:editId="6931C35B">
                <wp:simplePos x="0" y="0"/>
                <wp:positionH relativeFrom="column">
                  <wp:posOffset>-487045</wp:posOffset>
                </wp:positionH>
                <wp:positionV relativeFrom="paragraph">
                  <wp:posOffset>474980</wp:posOffset>
                </wp:positionV>
                <wp:extent cx="3096260" cy="224155"/>
                <wp:effectExtent l="0" t="0" r="8890" b="44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7D7D0E" w14:textId="77777777" w:rsidR="00CB0F6B" w:rsidRPr="006F31C1" w:rsidRDefault="00CB0F6B" w:rsidP="00CB0F6B">
                            <w:pPr>
                              <w:shd w:val="clear" w:color="auto" w:fill="FFFFFF"/>
                              <w:tabs>
                                <w:tab w:val="left" w:pos="163"/>
                              </w:tabs>
                              <w:autoSpaceDE w:val="0"/>
                              <w:autoSpaceDN w:val="0"/>
                              <w:adjustRightInd w:val="0"/>
                              <w:spacing w:line="240" w:lineRule="auto"/>
                              <w:rPr>
                                <w:rFonts w:cs="Arial"/>
                                <w:color w:val="5F5F5F"/>
                                <w:sz w:val="18"/>
                                <w:szCs w:val="18"/>
                              </w:rPr>
                            </w:pPr>
                            <w:r w:rsidRPr="006F31C1">
                              <w:rPr>
                                <w:rFonts w:eastAsia="Calibri" w:cs="Arial"/>
                                <w:b/>
                                <w:bCs/>
                                <w:caps/>
                                <w:color w:val="006747"/>
                                <w:spacing w:val="7"/>
                                <w:sz w:val="21"/>
                                <w:szCs w:val="22"/>
                                <w:lang w:val="en-GB"/>
                              </w:rPr>
                              <w:t>Practical Information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C78577" id="_x0000_s1044" type="#_x0000_t202" style="position:absolute;margin-left:-38.35pt;margin-top:37.4pt;width:243.8pt;height:17.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" stroked="f">
                <v:textbox>
                  <w:txbxContent>
                    <w:p w14:paraId="7A7D7D0E" w14:textId="77777777" w:rsidR="00CB0F6B" w:rsidRPr="006F31C1" w:rsidRDefault="00CB0F6B" w:rsidP="00CB0F6B">
                      <w:pPr>
                        <w:shd w:val="clear" w:color="auto" w:fill="FFFFFF"/>
                        <w:tabs>
                          <w:tab w:val="left" w:pos="163"/>
                        </w:tabs>
                        <w:autoSpaceDE w:val="0"/>
                        <w:autoSpaceDN w:val="0"/>
                        <w:adjustRightInd w:val="0"/>
                        <w:spacing w:line="240" w:lineRule="auto"/>
                        <w:rPr>
                          <w:rFonts w:cs="Arial"/>
                          <w:color w:val="5F5F5F"/>
                          <w:sz w:val="18"/>
                          <w:szCs w:val="18"/>
                        </w:rPr>
                      </w:pPr>
                      <w:r w:rsidRPr="006F31C1">
                        <w:rPr>
                          <w:rFonts w:eastAsia="Calibri" w:cs="Arial"/>
                          <w:b/>
                          <w:bCs/>
                          <w:caps/>
                          <w:color w:val="006747"/>
                          <w:spacing w:val="7"/>
                          <w:sz w:val="21"/>
                          <w:szCs w:val="22"/>
                          <w:lang w:val="en-GB"/>
                        </w:rPr>
                        <w:t>Practical Information</w:t>
                      </w:r>
                    </w:p>
                  </w:txbxContent>
                </v:textbox>
              </v:shape>
            </w:pict>
          </mc:Fallback>
        </mc:AlternateContent>
      </w:r>
      <w:r w:rsidR="00D91E47">
        <w:rPr>
          <w:noProof/>
          <w:color w:val="000000"/>
          <w:lang w:val="en-GB" w:eastAsia="en-GB"/>
        </w:rPr>
        <mc:AlternateContent>
          <mc:Choice Requires="wps">
            <w:drawing>
              <wp:anchor distT="0" distB="0" distL="114300" distR="114300" simplePos="0" relativeHeight="251686912" behindDoc="0" locked="0" layoutInCell="1" allowOverlap="1" wp14:anchorId="1134C902" wp14:editId="07EC60F2">
                <wp:simplePos x="0" y="0"/>
                <wp:positionH relativeFrom="margin">
                  <wp:posOffset>-541020</wp:posOffset>
                </wp:positionH>
                <wp:positionV relativeFrom="paragraph">
                  <wp:posOffset>444500</wp:posOffset>
                </wp:positionV>
                <wp:extent cx="6840220" cy="8255"/>
                <wp:effectExtent l="0" t="0" r="36830" b="29845"/>
                <wp:wrapNone/>
                <wp:docPr id="8"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8255"/>
                        </a:xfrm>
                        <a:prstGeom prst="straightConnector1">
                          <a:avLst/>
                        </a:prstGeom>
                        <a:noFill/>
                        <a:ln w="9525">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B417EB" id="_x0000_t32" coordsize="21600,21600" o:spt="32" o:oned="t" path="m,l21600,21600e" filled="f">
                <v:path arrowok="t" fillok="f" o:connecttype="none"/>
                <o:lock v:ext="edit" shapetype="t"/>
              </v:shapetype>
              <v:shape id="AutoShape 134" o:spid="_x0000_s1026" type="#_x0000_t32" style="position:absolute;margin-left:-42.6pt;margin-top:35pt;width:538.6pt;height:.6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" strokecolor="#006747">
                <w10:wrap anchorx="margin"/>
              </v:shape>
            </w:pict>
          </mc:Fallback>
        </mc:AlternateContent>
      </w:r>
      <w:r w:rsidR="0039384F">
        <w:rPr>
          <w:noProof/>
          <w:lang w:val="en-GB" w:eastAsia="en-GB"/>
        </w:rPr>
        <w:drawing>
          <wp:anchor distT="0" distB="0" distL="114300" distR="114300" simplePos="0" relativeHeight="251705344" behindDoc="0" locked="0" layoutInCell="1" allowOverlap="1" wp14:anchorId="4D17BF69" wp14:editId="0C1EF737">
            <wp:simplePos x="0" y="0"/>
            <wp:positionH relativeFrom="column">
              <wp:posOffset>4914265</wp:posOffset>
            </wp:positionH>
            <wp:positionV relativeFrom="paragraph">
              <wp:posOffset>5342255</wp:posOffset>
            </wp:positionV>
            <wp:extent cx="1521726" cy="715268"/>
            <wp:effectExtent l="0" t="0" r="254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1726" cy="715268"/>
                    </a:xfrm>
                    <a:prstGeom prst="rect">
                      <a:avLst/>
                    </a:prstGeom>
                  </pic:spPr>
                </pic:pic>
              </a:graphicData>
            </a:graphic>
            <wp14:sizeRelH relativeFrom="page">
              <wp14:pctWidth>0</wp14:pctWidth>
            </wp14:sizeRelH>
            <wp14:sizeRelV relativeFrom="page">
              <wp14:pctHeight>0</wp14:pctHeight>
            </wp14:sizeRelV>
          </wp:anchor>
        </w:drawing>
      </w:r>
    </w:p>
    <w:sectPr w:rsidR="005B6E23" w:rsidSect="00283C51">
      <w:footerReference w:type="default" r:id="rId19"/>
      <w:pgSz w:w="11906" w:h="16838"/>
      <w:pgMar w:top="1440" w:right="1440" w:bottom="1440" w:left="1440"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9565B" w14:textId="77777777" w:rsidR="001576C6" w:rsidRDefault="001576C6" w:rsidP="005B6E23">
      <w:pPr>
        <w:spacing w:line="240" w:lineRule="auto"/>
      </w:pPr>
      <w:r>
        <w:separator/>
      </w:r>
    </w:p>
  </w:endnote>
  <w:endnote w:type="continuationSeparator" w:id="0">
    <w:p w14:paraId="5EE48C5E" w14:textId="77777777" w:rsidR="001576C6" w:rsidRDefault="001576C6" w:rsidP="005B6E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34D24" w14:textId="46CA6B71" w:rsidR="005B6E23" w:rsidRDefault="005B6E23">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241528">
      <w:rPr>
        <w:caps/>
        <w:noProof/>
        <w:color w:val="5B9BD5" w:themeColor="accent1"/>
      </w:rPr>
      <w:t>2</w:t>
    </w:r>
    <w:r>
      <w:rPr>
        <w:caps/>
        <w:noProof/>
        <w:color w:val="5B9BD5" w:themeColor="accent1"/>
      </w:rPr>
      <w:fldChar w:fldCharType="end"/>
    </w:r>
  </w:p>
  <w:p w14:paraId="549331D9" w14:textId="77777777" w:rsidR="005B6E23" w:rsidRDefault="005B6E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7DBBB" w14:textId="77777777" w:rsidR="001576C6" w:rsidRDefault="001576C6" w:rsidP="005B6E23">
      <w:pPr>
        <w:spacing w:line="240" w:lineRule="auto"/>
      </w:pPr>
      <w:r>
        <w:separator/>
      </w:r>
    </w:p>
  </w:footnote>
  <w:footnote w:type="continuationSeparator" w:id="0">
    <w:p w14:paraId="61CF4A37" w14:textId="77777777" w:rsidR="001576C6" w:rsidRDefault="001576C6" w:rsidP="005B6E2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D347A"/>
    <w:multiLevelType w:val="hybridMultilevel"/>
    <w:tmpl w:val="054471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912596"/>
    <w:multiLevelType w:val="hybridMultilevel"/>
    <w:tmpl w:val="5E066D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0F3312B"/>
    <w:multiLevelType w:val="hybridMultilevel"/>
    <w:tmpl w:val="E2B260F0"/>
    <w:lvl w:ilvl="0" w:tplc="E3BEB2D8">
      <w:start w:val="1"/>
      <w:numFmt w:val="bullet"/>
      <w:lvlText w:val=""/>
      <w:lvlJc w:val="left"/>
      <w:pPr>
        <w:ind w:left="720" w:hanging="360"/>
      </w:pPr>
      <w:rPr>
        <w:rFonts w:ascii="Wingdings" w:hAnsi="Wingdings" w:hint="default"/>
        <w:color w:val="FFFFFF"/>
      </w:rPr>
    </w:lvl>
    <w:lvl w:ilvl="1" w:tplc="B308A8CC" w:tentative="1">
      <w:start w:val="1"/>
      <w:numFmt w:val="bullet"/>
      <w:lvlText w:val="o"/>
      <w:lvlJc w:val="left"/>
      <w:pPr>
        <w:ind w:left="1440" w:hanging="360"/>
      </w:pPr>
      <w:rPr>
        <w:rFonts w:ascii="Courier New" w:hAnsi="Courier New" w:cs="Courier New" w:hint="default"/>
      </w:rPr>
    </w:lvl>
    <w:lvl w:ilvl="2" w:tplc="3D625D1A" w:tentative="1">
      <w:start w:val="1"/>
      <w:numFmt w:val="bullet"/>
      <w:lvlText w:val=""/>
      <w:lvlJc w:val="left"/>
      <w:pPr>
        <w:ind w:left="2160" w:hanging="360"/>
      </w:pPr>
      <w:rPr>
        <w:rFonts w:ascii="Wingdings" w:hAnsi="Wingdings" w:hint="default"/>
      </w:rPr>
    </w:lvl>
    <w:lvl w:ilvl="3" w:tplc="3462E2EE" w:tentative="1">
      <w:start w:val="1"/>
      <w:numFmt w:val="bullet"/>
      <w:lvlText w:val=""/>
      <w:lvlJc w:val="left"/>
      <w:pPr>
        <w:ind w:left="2880" w:hanging="360"/>
      </w:pPr>
      <w:rPr>
        <w:rFonts w:ascii="Symbol" w:hAnsi="Symbol" w:hint="default"/>
      </w:rPr>
    </w:lvl>
    <w:lvl w:ilvl="4" w:tplc="4EE2BEC0" w:tentative="1">
      <w:start w:val="1"/>
      <w:numFmt w:val="bullet"/>
      <w:lvlText w:val="o"/>
      <w:lvlJc w:val="left"/>
      <w:pPr>
        <w:ind w:left="3600" w:hanging="360"/>
      </w:pPr>
      <w:rPr>
        <w:rFonts w:ascii="Courier New" w:hAnsi="Courier New" w:cs="Courier New" w:hint="default"/>
      </w:rPr>
    </w:lvl>
    <w:lvl w:ilvl="5" w:tplc="3EBE7054" w:tentative="1">
      <w:start w:val="1"/>
      <w:numFmt w:val="bullet"/>
      <w:lvlText w:val=""/>
      <w:lvlJc w:val="left"/>
      <w:pPr>
        <w:ind w:left="4320" w:hanging="360"/>
      </w:pPr>
      <w:rPr>
        <w:rFonts w:ascii="Wingdings" w:hAnsi="Wingdings" w:hint="default"/>
      </w:rPr>
    </w:lvl>
    <w:lvl w:ilvl="6" w:tplc="B60A0BA0" w:tentative="1">
      <w:start w:val="1"/>
      <w:numFmt w:val="bullet"/>
      <w:lvlText w:val=""/>
      <w:lvlJc w:val="left"/>
      <w:pPr>
        <w:ind w:left="5040" w:hanging="360"/>
      </w:pPr>
      <w:rPr>
        <w:rFonts w:ascii="Symbol" w:hAnsi="Symbol" w:hint="default"/>
      </w:rPr>
    </w:lvl>
    <w:lvl w:ilvl="7" w:tplc="756AE758" w:tentative="1">
      <w:start w:val="1"/>
      <w:numFmt w:val="bullet"/>
      <w:lvlText w:val="o"/>
      <w:lvlJc w:val="left"/>
      <w:pPr>
        <w:ind w:left="5760" w:hanging="360"/>
      </w:pPr>
      <w:rPr>
        <w:rFonts w:ascii="Courier New" w:hAnsi="Courier New" w:cs="Courier New" w:hint="default"/>
      </w:rPr>
    </w:lvl>
    <w:lvl w:ilvl="8" w:tplc="E29C0BB8" w:tentative="1">
      <w:start w:val="1"/>
      <w:numFmt w:val="bullet"/>
      <w:lvlText w:val=""/>
      <w:lvlJc w:val="left"/>
      <w:pPr>
        <w:ind w:left="6480" w:hanging="360"/>
      </w:pPr>
      <w:rPr>
        <w:rFonts w:ascii="Wingdings" w:hAnsi="Wingdings" w:hint="default"/>
      </w:rPr>
    </w:lvl>
  </w:abstractNum>
  <w:abstractNum w:abstractNumId="3" w15:restartNumberingAfterBreak="0">
    <w:nsid w:val="24FC01D9"/>
    <w:multiLevelType w:val="hybridMultilevel"/>
    <w:tmpl w:val="236A1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C821C2"/>
    <w:multiLevelType w:val="hybridMultilevel"/>
    <w:tmpl w:val="B4440BAA"/>
    <w:lvl w:ilvl="0" w:tplc="08090001">
      <w:start w:val="1"/>
      <w:numFmt w:val="bullet"/>
      <w:lvlText w:val=""/>
      <w:lvlJc w:val="left"/>
      <w:pPr>
        <w:ind w:left="720" w:hanging="360"/>
      </w:pPr>
      <w:rPr>
        <w:rFonts w:ascii="Symbol" w:hAnsi="Symbol" w:hint="default"/>
      </w:rPr>
    </w:lvl>
    <w:lvl w:ilvl="1" w:tplc="BC4436FE">
      <w:numFmt w:val="bullet"/>
      <w:lvlText w:val="•"/>
      <w:lvlJc w:val="left"/>
      <w:pPr>
        <w:ind w:left="1840" w:hanging="7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A65C7C"/>
    <w:multiLevelType w:val="hybridMultilevel"/>
    <w:tmpl w:val="BBDEA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DC39A5"/>
    <w:multiLevelType w:val="hybridMultilevel"/>
    <w:tmpl w:val="9A4CC5C4"/>
    <w:lvl w:ilvl="0" w:tplc="4FAAC002">
      <w:numFmt w:val="bullet"/>
      <w:lvlText w:val="•"/>
      <w:lvlJc w:val="left"/>
      <w:pPr>
        <w:ind w:left="1080" w:hanging="72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DB1125"/>
    <w:multiLevelType w:val="hybridMultilevel"/>
    <w:tmpl w:val="C7A826F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D8C427B"/>
    <w:multiLevelType w:val="hybridMultilevel"/>
    <w:tmpl w:val="5AE809EA"/>
    <w:lvl w:ilvl="0" w:tplc="79CCE280">
      <w:start w:val="1"/>
      <w:numFmt w:val="bullet"/>
      <w:pStyle w:val="KIIDbullet1"/>
      <w:lvlText w:val=""/>
      <w:lvlJc w:val="left"/>
      <w:pPr>
        <w:ind w:left="720" w:hanging="360"/>
      </w:pPr>
      <w:rPr>
        <w:rFonts w:ascii="Wingdings" w:hAnsi="Wingdings" w:hint="default"/>
        <w:color w:val="8C898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5431141">
    <w:abstractNumId w:val="7"/>
  </w:num>
  <w:num w:numId="2" w16cid:durableId="38092109">
    <w:abstractNumId w:val="8"/>
  </w:num>
  <w:num w:numId="3" w16cid:durableId="446390678">
    <w:abstractNumId w:val="2"/>
  </w:num>
  <w:num w:numId="4" w16cid:durableId="1583565864">
    <w:abstractNumId w:val="8"/>
  </w:num>
  <w:num w:numId="5" w16cid:durableId="1844390549">
    <w:abstractNumId w:val="0"/>
  </w:num>
  <w:num w:numId="6" w16cid:durableId="485636537">
    <w:abstractNumId w:val="4"/>
  </w:num>
  <w:num w:numId="7" w16cid:durableId="164978140">
    <w:abstractNumId w:val="3"/>
  </w:num>
  <w:num w:numId="8" w16cid:durableId="2129809826">
    <w:abstractNumId w:val="6"/>
  </w:num>
  <w:num w:numId="9" w16cid:durableId="430393107">
    <w:abstractNumId w:val="5"/>
  </w:num>
  <w:num w:numId="10" w16cid:durableId="13950112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D10"/>
    <w:rsid w:val="0000135C"/>
    <w:rsid w:val="000303E2"/>
    <w:rsid w:val="00030BF2"/>
    <w:rsid w:val="000503E0"/>
    <w:rsid w:val="000769B6"/>
    <w:rsid w:val="000934DB"/>
    <w:rsid w:val="001266C0"/>
    <w:rsid w:val="00130536"/>
    <w:rsid w:val="00132C0D"/>
    <w:rsid w:val="00150151"/>
    <w:rsid w:val="001576C6"/>
    <w:rsid w:val="00162886"/>
    <w:rsid w:val="00166B27"/>
    <w:rsid w:val="0017638F"/>
    <w:rsid w:val="00182EA0"/>
    <w:rsid w:val="00195BC5"/>
    <w:rsid w:val="001B2BEF"/>
    <w:rsid w:val="001B52DF"/>
    <w:rsid w:val="001B5511"/>
    <w:rsid w:val="001D71A7"/>
    <w:rsid w:val="002006A1"/>
    <w:rsid w:val="00216272"/>
    <w:rsid w:val="00227808"/>
    <w:rsid w:val="00241528"/>
    <w:rsid w:val="00260AA8"/>
    <w:rsid w:val="00271096"/>
    <w:rsid w:val="00283C51"/>
    <w:rsid w:val="00290696"/>
    <w:rsid w:val="00296F3B"/>
    <w:rsid w:val="002A54CA"/>
    <w:rsid w:val="002B0B2B"/>
    <w:rsid w:val="002B76E9"/>
    <w:rsid w:val="002C3A76"/>
    <w:rsid w:val="002C6136"/>
    <w:rsid w:val="002D1531"/>
    <w:rsid w:val="003076FC"/>
    <w:rsid w:val="00312885"/>
    <w:rsid w:val="003152B0"/>
    <w:rsid w:val="00316AA2"/>
    <w:rsid w:val="003206E5"/>
    <w:rsid w:val="00334609"/>
    <w:rsid w:val="0039384F"/>
    <w:rsid w:val="003E383B"/>
    <w:rsid w:val="003E7314"/>
    <w:rsid w:val="003F4AED"/>
    <w:rsid w:val="00405415"/>
    <w:rsid w:val="00406B3B"/>
    <w:rsid w:val="00411B7D"/>
    <w:rsid w:val="00470786"/>
    <w:rsid w:val="00471F92"/>
    <w:rsid w:val="00482326"/>
    <w:rsid w:val="004834D4"/>
    <w:rsid w:val="00491D9D"/>
    <w:rsid w:val="00492098"/>
    <w:rsid w:val="004D7DB2"/>
    <w:rsid w:val="004F53A0"/>
    <w:rsid w:val="005321A2"/>
    <w:rsid w:val="00547654"/>
    <w:rsid w:val="00551CA0"/>
    <w:rsid w:val="005542CF"/>
    <w:rsid w:val="005713DC"/>
    <w:rsid w:val="005B2A95"/>
    <w:rsid w:val="005B6E23"/>
    <w:rsid w:val="005D031A"/>
    <w:rsid w:val="005D7124"/>
    <w:rsid w:val="005D7254"/>
    <w:rsid w:val="00601A22"/>
    <w:rsid w:val="00603E62"/>
    <w:rsid w:val="00650319"/>
    <w:rsid w:val="00662DA6"/>
    <w:rsid w:val="0067277D"/>
    <w:rsid w:val="00707D3D"/>
    <w:rsid w:val="007355C1"/>
    <w:rsid w:val="007454E4"/>
    <w:rsid w:val="007761A6"/>
    <w:rsid w:val="00777F73"/>
    <w:rsid w:val="0078100F"/>
    <w:rsid w:val="007831CF"/>
    <w:rsid w:val="00784604"/>
    <w:rsid w:val="0078724B"/>
    <w:rsid w:val="007C2529"/>
    <w:rsid w:val="007C7A66"/>
    <w:rsid w:val="007E0AFC"/>
    <w:rsid w:val="008218A8"/>
    <w:rsid w:val="00824906"/>
    <w:rsid w:val="00860C1C"/>
    <w:rsid w:val="00872332"/>
    <w:rsid w:val="008843CB"/>
    <w:rsid w:val="008C2A01"/>
    <w:rsid w:val="008E7B34"/>
    <w:rsid w:val="009572C4"/>
    <w:rsid w:val="0098667B"/>
    <w:rsid w:val="00991A1D"/>
    <w:rsid w:val="009A606C"/>
    <w:rsid w:val="009B308D"/>
    <w:rsid w:val="009D5C18"/>
    <w:rsid w:val="009E0691"/>
    <w:rsid w:val="00A0105F"/>
    <w:rsid w:val="00A06BCD"/>
    <w:rsid w:val="00A32750"/>
    <w:rsid w:val="00A35678"/>
    <w:rsid w:val="00A545B1"/>
    <w:rsid w:val="00AA1954"/>
    <w:rsid w:val="00AB2C60"/>
    <w:rsid w:val="00AB32D7"/>
    <w:rsid w:val="00AE3529"/>
    <w:rsid w:val="00AE6FDF"/>
    <w:rsid w:val="00B03A64"/>
    <w:rsid w:val="00B07402"/>
    <w:rsid w:val="00B14CE9"/>
    <w:rsid w:val="00B41DFE"/>
    <w:rsid w:val="00B74D10"/>
    <w:rsid w:val="00B92CCF"/>
    <w:rsid w:val="00BD0715"/>
    <w:rsid w:val="00C2285A"/>
    <w:rsid w:val="00C320A0"/>
    <w:rsid w:val="00C335ED"/>
    <w:rsid w:val="00C34FC3"/>
    <w:rsid w:val="00C92E59"/>
    <w:rsid w:val="00CA5621"/>
    <w:rsid w:val="00CB0F6B"/>
    <w:rsid w:val="00CB6720"/>
    <w:rsid w:val="00CD42A5"/>
    <w:rsid w:val="00D3149A"/>
    <w:rsid w:val="00D7328B"/>
    <w:rsid w:val="00D91E47"/>
    <w:rsid w:val="00D970B3"/>
    <w:rsid w:val="00DA7268"/>
    <w:rsid w:val="00DB7334"/>
    <w:rsid w:val="00DC13F2"/>
    <w:rsid w:val="00DC2CE9"/>
    <w:rsid w:val="00DD263A"/>
    <w:rsid w:val="00DE5EAE"/>
    <w:rsid w:val="00DF3E5A"/>
    <w:rsid w:val="00DF6DB3"/>
    <w:rsid w:val="00E0421D"/>
    <w:rsid w:val="00E25BD7"/>
    <w:rsid w:val="00E46B21"/>
    <w:rsid w:val="00E658A2"/>
    <w:rsid w:val="00E7589F"/>
    <w:rsid w:val="00E86A6B"/>
    <w:rsid w:val="00E91F43"/>
    <w:rsid w:val="00EC7D6F"/>
    <w:rsid w:val="00ED0F4D"/>
    <w:rsid w:val="00EE3310"/>
    <w:rsid w:val="00F000DE"/>
    <w:rsid w:val="00F0299D"/>
    <w:rsid w:val="00F15A75"/>
    <w:rsid w:val="00F631E3"/>
    <w:rsid w:val="00F803CA"/>
    <w:rsid w:val="00FB0C87"/>
    <w:rsid w:val="00FE2606"/>
    <w:rsid w:val="00FE72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1B789"/>
  <w15:chartTrackingRefBased/>
  <w15:docId w15:val="{07AE94F1-AB83-4C13-B87F-6F1981BEF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D10"/>
    <w:pPr>
      <w:widowControl w:val="0"/>
      <w:spacing w:after="0" w:line="360" w:lineRule="auto"/>
      <w:jc w:val="both"/>
    </w:pPr>
    <w:rPr>
      <w:rFonts w:ascii="Arial" w:eastAsia="Times New Roman" w:hAnsi="Arial" w:cs="Times New Roman"/>
      <w:sz w:val="20"/>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D10"/>
    <w:pPr>
      <w:ind w:left="720"/>
      <w:contextualSpacing/>
    </w:pPr>
  </w:style>
  <w:style w:type="paragraph" w:customStyle="1" w:styleId="BoldSubHead">
    <w:name w:val="Bold Sub Head"/>
    <w:basedOn w:val="Normal"/>
    <w:qFormat/>
    <w:rsid w:val="00CD42A5"/>
    <w:pPr>
      <w:widowControl/>
      <w:spacing w:before="420" w:after="120" w:line="200" w:lineRule="exact"/>
      <w:jc w:val="left"/>
    </w:pPr>
    <w:rPr>
      <w:rFonts w:eastAsia="Calibri"/>
      <w:b/>
      <w:bCs/>
      <w:caps/>
      <w:color w:val="006747"/>
      <w:spacing w:val="7"/>
      <w:sz w:val="21"/>
      <w:szCs w:val="22"/>
      <w:lang w:val="en-GB"/>
    </w:rPr>
  </w:style>
  <w:style w:type="paragraph" w:customStyle="1" w:styleId="KIIDtext1">
    <w:name w:val="KIID text 1"/>
    <w:basedOn w:val="Normal"/>
    <w:qFormat/>
    <w:rsid w:val="00CD42A5"/>
    <w:pPr>
      <w:spacing w:after="120" w:line="240" w:lineRule="exact"/>
      <w:jc w:val="left"/>
    </w:pPr>
    <w:rPr>
      <w:color w:val="5F5F5F"/>
      <w:sz w:val="18"/>
      <w:szCs w:val="18"/>
    </w:rPr>
  </w:style>
  <w:style w:type="paragraph" w:customStyle="1" w:styleId="KIIDbullet1">
    <w:name w:val="KIID bullet 1"/>
    <w:basedOn w:val="KIIDtext1"/>
    <w:qFormat/>
    <w:rsid w:val="00CD42A5"/>
    <w:pPr>
      <w:numPr>
        <w:numId w:val="2"/>
      </w:numPr>
    </w:pPr>
    <w:rPr>
      <w:rFonts w:ascii="Gill Sans MT" w:hAnsi="Gill Sans MT"/>
    </w:rPr>
  </w:style>
  <w:style w:type="paragraph" w:styleId="Header">
    <w:name w:val="header"/>
    <w:basedOn w:val="Normal"/>
    <w:link w:val="HeaderChar"/>
    <w:uiPriority w:val="99"/>
    <w:unhideWhenUsed/>
    <w:rsid w:val="005B6E23"/>
    <w:pPr>
      <w:tabs>
        <w:tab w:val="center" w:pos="4513"/>
        <w:tab w:val="right" w:pos="9026"/>
      </w:tabs>
      <w:spacing w:line="240" w:lineRule="auto"/>
    </w:pPr>
  </w:style>
  <w:style w:type="character" w:customStyle="1" w:styleId="HeaderChar">
    <w:name w:val="Header Char"/>
    <w:basedOn w:val="DefaultParagraphFont"/>
    <w:link w:val="Header"/>
    <w:uiPriority w:val="99"/>
    <w:rsid w:val="005B6E23"/>
    <w:rPr>
      <w:rFonts w:ascii="Arial" w:eastAsia="Times New Roman" w:hAnsi="Arial" w:cs="Times New Roman"/>
      <w:sz w:val="20"/>
      <w:szCs w:val="20"/>
      <w:lang w:val="en-IE"/>
    </w:rPr>
  </w:style>
  <w:style w:type="paragraph" w:styleId="Footer">
    <w:name w:val="footer"/>
    <w:basedOn w:val="Normal"/>
    <w:link w:val="FooterChar"/>
    <w:uiPriority w:val="99"/>
    <w:unhideWhenUsed/>
    <w:rsid w:val="005B6E23"/>
    <w:pPr>
      <w:tabs>
        <w:tab w:val="center" w:pos="4513"/>
        <w:tab w:val="right" w:pos="9026"/>
      </w:tabs>
      <w:spacing w:line="240" w:lineRule="auto"/>
    </w:pPr>
  </w:style>
  <w:style w:type="character" w:customStyle="1" w:styleId="FooterChar">
    <w:name w:val="Footer Char"/>
    <w:basedOn w:val="DefaultParagraphFont"/>
    <w:link w:val="Footer"/>
    <w:uiPriority w:val="99"/>
    <w:rsid w:val="005B6E23"/>
    <w:rPr>
      <w:rFonts w:ascii="Arial" w:eastAsia="Times New Roman" w:hAnsi="Arial" w:cs="Times New Roman"/>
      <w:sz w:val="20"/>
      <w:szCs w:val="20"/>
      <w:lang w:val="en-IE"/>
    </w:rPr>
  </w:style>
  <w:style w:type="paragraph" w:styleId="BalloonText">
    <w:name w:val="Balloon Text"/>
    <w:basedOn w:val="Normal"/>
    <w:link w:val="BalloonTextChar"/>
    <w:uiPriority w:val="99"/>
    <w:semiHidden/>
    <w:unhideWhenUsed/>
    <w:rsid w:val="00FE72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266"/>
    <w:rPr>
      <w:rFonts w:ascii="Segoe UI" w:eastAsia="Times New Roman" w:hAnsi="Segoe UI" w:cs="Segoe UI"/>
      <w:sz w:val="18"/>
      <w:szCs w:val="18"/>
      <w:lang w:val="en-IE"/>
    </w:rPr>
  </w:style>
  <w:style w:type="character" w:styleId="Hyperlink">
    <w:name w:val="Hyperlink"/>
    <w:basedOn w:val="DefaultParagraphFont"/>
    <w:uiPriority w:val="99"/>
    <w:unhideWhenUsed/>
    <w:rsid w:val="00471F92"/>
    <w:rPr>
      <w:color w:val="0563C1"/>
      <w:u w:val="single"/>
    </w:rPr>
  </w:style>
  <w:style w:type="table" w:styleId="TableGrid">
    <w:name w:val="Table Grid"/>
    <w:basedOn w:val="TableNormal"/>
    <w:uiPriority w:val="39"/>
    <w:rsid w:val="00166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91F43"/>
    <w:rPr>
      <w:color w:val="605E5C"/>
      <w:shd w:val="clear" w:color="auto" w:fill="E1DFDD"/>
    </w:rPr>
  </w:style>
  <w:style w:type="character" w:styleId="CommentReference">
    <w:name w:val="annotation reference"/>
    <w:basedOn w:val="DefaultParagraphFont"/>
    <w:uiPriority w:val="99"/>
    <w:semiHidden/>
    <w:unhideWhenUsed/>
    <w:rsid w:val="005B2A95"/>
    <w:rPr>
      <w:sz w:val="16"/>
      <w:szCs w:val="16"/>
    </w:rPr>
  </w:style>
  <w:style w:type="paragraph" w:styleId="CommentText">
    <w:name w:val="annotation text"/>
    <w:basedOn w:val="Normal"/>
    <w:link w:val="CommentTextChar"/>
    <w:uiPriority w:val="99"/>
    <w:semiHidden/>
    <w:unhideWhenUsed/>
    <w:rsid w:val="005B2A95"/>
    <w:pPr>
      <w:spacing w:line="240" w:lineRule="auto"/>
    </w:pPr>
  </w:style>
  <w:style w:type="character" w:customStyle="1" w:styleId="CommentTextChar">
    <w:name w:val="Comment Text Char"/>
    <w:basedOn w:val="DefaultParagraphFont"/>
    <w:link w:val="CommentText"/>
    <w:uiPriority w:val="99"/>
    <w:semiHidden/>
    <w:rsid w:val="005B2A95"/>
    <w:rPr>
      <w:rFonts w:ascii="Arial" w:eastAsia="Times New Roman" w:hAnsi="Arial" w:cs="Times New Roman"/>
      <w:sz w:val="20"/>
      <w:szCs w:val="20"/>
      <w:lang w:val="en-IE"/>
    </w:rPr>
  </w:style>
  <w:style w:type="paragraph" w:styleId="CommentSubject">
    <w:name w:val="annotation subject"/>
    <w:basedOn w:val="CommentText"/>
    <w:next w:val="CommentText"/>
    <w:link w:val="CommentSubjectChar"/>
    <w:uiPriority w:val="99"/>
    <w:semiHidden/>
    <w:unhideWhenUsed/>
    <w:rsid w:val="005B2A95"/>
    <w:rPr>
      <w:b/>
      <w:bCs/>
    </w:rPr>
  </w:style>
  <w:style w:type="character" w:customStyle="1" w:styleId="CommentSubjectChar">
    <w:name w:val="Comment Subject Char"/>
    <w:basedOn w:val="CommentTextChar"/>
    <w:link w:val="CommentSubject"/>
    <w:uiPriority w:val="99"/>
    <w:semiHidden/>
    <w:rsid w:val="005B2A95"/>
    <w:rPr>
      <w:rFonts w:ascii="Arial" w:eastAsia="Times New Roman" w:hAnsi="Arial" w:cs="Times New Roman"/>
      <w:b/>
      <w:bCs/>
      <w:sz w:val="20"/>
      <w:szCs w:val="20"/>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524563">
      <w:bodyDiv w:val="1"/>
      <w:marLeft w:val="0"/>
      <w:marRight w:val="0"/>
      <w:marTop w:val="0"/>
      <w:marBottom w:val="0"/>
      <w:divBdr>
        <w:top w:val="none" w:sz="0" w:space="0" w:color="auto"/>
        <w:left w:val="none" w:sz="0" w:space="0" w:color="auto"/>
        <w:bottom w:val="none" w:sz="0" w:space="0" w:color="auto"/>
        <w:right w:val="none" w:sz="0" w:space="0" w:color="auto"/>
      </w:divBdr>
    </w:div>
    <w:div w:id="1673294632">
      <w:bodyDiv w:val="1"/>
      <w:marLeft w:val="0"/>
      <w:marRight w:val="0"/>
      <w:marTop w:val="0"/>
      <w:marBottom w:val="0"/>
      <w:divBdr>
        <w:top w:val="none" w:sz="0" w:space="0" w:color="auto"/>
        <w:left w:val="none" w:sz="0" w:space="0" w:color="auto"/>
        <w:bottom w:val="none" w:sz="0" w:space="0" w:color="auto"/>
        <w:right w:val="none" w:sz="0" w:space="0" w:color="auto"/>
      </w:divBdr>
    </w:div>
    <w:div w:id="208588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yperlink" Target="https://kbassociates.i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cqs.com/documents/funds/uscb/supporting-docs/prospectus-cqs-funds-ireland-plc-28.01.2022.pdf" TargetMode="External"/><Relationship Id="rId17" Type="http://schemas.openxmlformats.org/officeDocument/2006/relationships/hyperlink" Target="https://www.cqs.com/documents/regulatory-disclosures/cqs_ucits_remuneration_policy.pdf" TargetMode="External"/><Relationship Id="rId2" Type="http://schemas.openxmlformats.org/officeDocument/2006/relationships/customXml" Target="../customXml/item2.xml"/><Relationship Id="rId16" Type="http://schemas.openxmlformats.org/officeDocument/2006/relationships/hyperlink" Target="https://kbassociates.i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qs.com/documents/funds/uscb/supporting-docs/prospectus-cqs-funds-ireland-plc-28.01.2022.pdf" TargetMode="External"/><Relationship Id="rId5" Type="http://schemas.openxmlformats.org/officeDocument/2006/relationships/styles" Target="styles.xml"/><Relationship Id="rId15" Type="http://schemas.openxmlformats.org/officeDocument/2006/relationships/hyperlink" Target="https://www.cqs.com/documents/regulatory-disclosures/cqs_ucits_remuneration_policy.pdf"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qsm.com\cqsnet\Group\Distribution\Client%20Service%20&amp;%20Marketing\Client%20Service\KIIDs\UCITS%20KIID%20performance%20graphs%20Jun%20202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solidFill>
                  <a:srgbClr val="336600"/>
                </a:solidFill>
              </a:defRPr>
            </a:pPr>
            <a:r>
              <a:rPr lang="en-US" sz="1000"/>
              <a:t>E1 Dist EUR</a:t>
            </a:r>
          </a:p>
        </c:rich>
      </c:tx>
      <c:overlay val="0"/>
    </c:title>
    <c:autoTitleDeleted val="0"/>
    <c:plotArea>
      <c:layout>
        <c:manualLayout>
          <c:layoutTarget val="inner"/>
          <c:xMode val="edge"/>
          <c:yMode val="edge"/>
          <c:x val="0.20608602382991462"/>
          <c:y val="0.23077040189813647"/>
          <c:w val="0.7474514629705078"/>
          <c:h val="0.62390245550231682"/>
        </c:manualLayout>
      </c:layout>
      <c:barChart>
        <c:barDir val="col"/>
        <c:grouping val="clustered"/>
        <c:varyColors val="0"/>
        <c:ser>
          <c:idx val="0"/>
          <c:order val="0"/>
          <c:tx>
            <c:strRef>
              <c:f>Salar!$C$163</c:f>
              <c:strCache>
                <c:ptCount val="1"/>
                <c:pt idx="0">
                  <c:v>E1 EUR D Inc</c:v>
                </c:pt>
              </c:strCache>
            </c:strRef>
          </c:tx>
          <c:spPr>
            <a:solidFill>
              <a:srgbClr val="336600"/>
            </a:solidFill>
          </c:spPr>
          <c:invertIfNegative val="0"/>
          <c:cat>
            <c:numRef>
              <c:f>Salar!$A$172:$A$176</c:f>
              <c:numCache>
                <c:formatCode>General</c:formatCode>
                <c:ptCount val="5"/>
                <c:pt idx="0">
                  <c:v>2017</c:v>
                </c:pt>
                <c:pt idx="1">
                  <c:v>2018</c:v>
                </c:pt>
                <c:pt idx="2">
                  <c:v>2019</c:v>
                </c:pt>
                <c:pt idx="3">
                  <c:v>2020</c:v>
                </c:pt>
                <c:pt idx="4">
                  <c:v>2021</c:v>
                </c:pt>
              </c:numCache>
            </c:numRef>
          </c:cat>
          <c:val>
            <c:numRef>
              <c:f>Salar!$C$172:$C$176</c:f>
              <c:numCache>
                <c:formatCode>0.000%</c:formatCode>
                <c:ptCount val="5"/>
                <c:pt idx="0">
                  <c:v>0</c:v>
                </c:pt>
                <c:pt idx="1">
                  <c:v>0</c:v>
                </c:pt>
                <c:pt idx="2">
                  <c:v>0</c:v>
                </c:pt>
                <c:pt idx="3">
                  <c:v>0</c:v>
                </c:pt>
                <c:pt idx="4">
                  <c:v>-1.5852390852390937E-2</c:v>
                </c:pt>
              </c:numCache>
            </c:numRef>
          </c:val>
          <c:extLst>
            <c:ext xmlns:c16="http://schemas.microsoft.com/office/drawing/2014/chart" uri="{C3380CC4-5D6E-409C-BE32-E72D297353CC}">
              <c16:uniqueId val="{00000000-F0E8-4586-A040-FD1F342BF3B3}"/>
            </c:ext>
          </c:extLst>
        </c:ser>
        <c:dLbls>
          <c:showLegendKey val="0"/>
          <c:showVal val="0"/>
          <c:showCatName val="0"/>
          <c:showSerName val="0"/>
          <c:showPercent val="0"/>
          <c:showBubbleSize val="0"/>
        </c:dLbls>
        <c:gapWidth val="30"/>
        <c:axId val="63488768"/>
        <c:axId val="63490304"/>
      </c:barChart>
      <c:catAx>
        <c:axId val="63488768"/>
        <c:scaling>
          <c:orientation val="minMax"/>
        </c:scaling>
        <c:delete val="0"/>
        <c:axPos val="b"/>
        <c:majorGridlines>
          <c:spPr>
            <a:ln>
              <a:noFill/>
            </a:ln>
          </c:spPr>
        </c:majorGridlines>
        <c:numFmt formatCode="General" sourceLinked="1"/>
        <c:majorTickMark val="out"/>
        <c:minorTickMark val="none"/>
        <c:tickLblPos val="low"/>
        <c:txPr>
          <a:bodyPr/>
          <a:lstStyle/>
          <a:p>
            <a:pPr>
              <a:defRPr sz="700"/>
            </a:pPr>
            <a:endParaRPr lang="en-US"/>
          </a:p>
        </c:txPr>
        <c:crossAx val="63490304"/>
        <c:crosses val="autoZero"/>
        <c:auto val="0"/>
        <c:lblAlgn val="ctr"/>
        <c:lblOffset val="100"/>
        <c:noMultiLvlLbl val="0"/>
      </c:catAx>
      <c:valAx>
        <c:axId val="63490304"/>
        <c:scaling>
          <c:orientation val="minMax"/>
        </c:scaling>
        <c:delete val="0"/>
        <c:axPos val="l"/>
        <c:majorGridlines>
          <c:spPr>
            <a:ln>
              <a:noFill/>
            </a:ln>
          </c:spPr>
        </c:majorGridlines>
        <c:numFmt formatCode="0%" sourceLinked="0"/>
        <c:majorTickMark val="out"/>
        <c:minorTickMark val="none"/>
        <c:tickLblPos val="nextTo"/>
        <c:txPr>
          <a:bodyPr/>
          <a:lstStyle/>
          <a:p>
            <a:pPr>
              <a:defRPr sz="700"/>
            </a:pPr>
            <a:endParaRPr lang="en-US"/>
          </a:p>
        </c:txPr>
        <c:crossAx val="63488768"/>
        <c:crosses val="autoZero"/>
        <c:crossBetween val="between"/>
        <c:majorUnit val="1.0000000000000002E-2"/>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BE40D9CBB0CD4797B537C933D9AE3F" ma:contentTypeVersion="11" ma:contentTypeDescription="Create a new document." ma:contentTypeScope="" ma:versionID="c01b51b68ad53fa953dc052900c14b25">
  <xsd:schema xmlns:xsd="http://www.w3.org/2001/XMLSchema" xmlns:xs="http://www.w3.org/2001/XMLSchema" xmlns:p="http://schemas.microsoft.com/office/2006/metadata/properties" xmlns:ns3="6387cef6-eeba-41d4-a738-47d0c935cae5" xmlns:ns4="73b8a697-71b7-4e62-afb6-a849b7beb242" targetNamespace="http://schemas.microsoft.com/office/2006/metadata/properties" ma:root="true" ma:fieldsID="4ac04c22f209414c599e4d87a280da7d" ns3:_="" ns4:_="">
    <xsd:import namespace="6387cef6-eeba-41d4-a738-47d0c935cae5"/>
    <xsd:import namespace="73b8a697-71b7-4e62-afb6-a849b7beb2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87cef6-eeba-41d4-a738-47d0c935ca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b8a697-71b7-4e62-afb6-a849b7beb24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B12811-678C-4D5E-ABA2-5414423A840D}">
  <ds:schemaRefs>
    <ds:schemaRef ds:uri="http://schemas.microsoft.com/sharepoint/v3/contenttype/forms"/>
  </ds:schemaRefs>
</ds:datastoreItem>
</file>

<file path=customXml/itemProps2.xml><?xml version="1.0" encoding="utf-8"?>
<ds:datastoreItem xmlns:ds="http://schemas.openxmlformats.org/officeDocument/2006/customXml" ds:itemID="{A31BCE67-07B9-4569-A7B2-2E1588538C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0D9F08-8F92-407D-8B92-CC8B1FF8B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87cef6-eeba-41d4-a738-47d0c935cae5"/>
    <ds:schemaRef ds:uri="73b8a697-71b7-4e62-afb6-a849b7beb2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6</Words>
  <Characters>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Caitlin</dc:creator>
  <cp:keywords/>
  <dc:description/>
  <cp:lastModifiedBy>Window, Simon</cp:lastModifiedBy>
  <cp:revision>9</cp:revision>
  <cp:lastPrinted>2022-03-14T12:29:00Z</cp:lastPrinted>
  <dcterms:created xsi:type="dcterms:W3CDTF">2022-06-13T09:11:00Z</dcterms:created>
  <dcterms:modified xsi:type="dcterms:W3CDTF">2022-11-01T10:51:00Z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0x01010087BE40D9CBB0CD4797B537C933D9AE3F</vt:lpwstr>
  </property>
</Properties>
</file>