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18FC3051">
                <wp:simplePos x="0" y="0"/>
                <wp:positionH relativeFrom="page">
                  <wp:posOffset>238125</wp:posOffset>
                </wp:positionH>
                <wp:positionV relativeFrom="paragraph">
                  <wp:posOffset>168910</wp:posOffset>
                </wp:positionV>
                <wp:extent cx="6965950" cy="12287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2287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086F689E" w:rsidR="000D6449" w:rsidRPr="000D6449" w:rsidRDefault="00C4600E" w:rsidP="00C4600E">
                                  <w:pPr>
                                    <w:spacing w:after="80" w:line="300" w:lineRule="exact"/>
                                    <w:rPr>
                                      <w:rFonts w:cs="Arial"/>
                                      <w:color w:val="FFFFFF"/>
                                      <w:sz w:val="22"/>
                                      <w:szCs w:val="22"/>
                                      <w:lang w:val="es-ES"/>
                                    </w:rPr>
                                  </w:pPr>
                                  <w:r>
                                    <w:rPr>
                                      <w:rFonts w:cs="Arial"/>
                                      <w:color w:val="FFFFFF"/>
                                      <w:sz w:val="22"/>
                                      <w:szCs w:val="22"/>
                                      <w:lang w:val="es"/>
                                    </w:rPr>
                                    <w:t>Clase C2</w:t>
                                  </w:r>
                                  <w:r w:rsidR="000D6449" w:rsidRPr="000D6449">
                                    <w:rPr>
                                      <w:rFonts w:cs="Arial"/>
                                      <w:color w:val="FFFFFF"/>
                                      <w:sz w:val="22"/>
                                      <w:szCs w:val="22"/>
                                      <w:lang w:val="es"/>
                                    </w:rPr>
                                    <w:t xml:space="preserve"> Acc GBP (ISIN: I</w:t>
                                  </w:r>
                                  <w:r w:rsidRPr="00C4600E">
                                    <w:rPr>
                                      <w:rFonts w:cs="Arial"/>
                                      <w:color w:val="FFFFFF"/>
                                      <w:sz w:val="22"/>
                                      <w:szCs w:val="22"/>
                                      <w:lang w:val="es"/>
                                    </w:rPr>
                                    <w:t>E00B2PLJ042</w:t>
                                  </w:r>
                                  <w:r w:rsidR="000D6449" w:rsidRPr="000D6449">
                                    <w:rPr>
                                      <w:rFonts w:cs="Arial"/>
                                      <w:color w:val="FFFFFF"/>
                                      <w:sz w:val="22"/>
                                      <w:szCs w:val="22"/>
                                      <w:lang w:val="es"/>
                                    </w:rPr>
                                    <w:t>)</w:t>
                                  </w:r>
                                </w:p>
                              </w:tc>
                              <w:tc>
                                <w:tcPr>
                                  <w:tcW w:w="5452" w:type="dxa"/>
                                </w:tcPr>
                                <w:p w14:paraId="0D06B7D6" w14:textId="6E670DB1" w:rsidR="000D6449" w:rsidRPr="000D6449" w:rsidRDefault="000D6449" w:rsidP="008A3787">
                                  <w:pPr>
                                    <w:spacing w:after="80" w:line="300" w:lineRule="exact"/>
                                    <w:rPr>
                                      <w:rFonts w:cs="Arial"/>
                                      <w:color w:val="FFFFFF"/>
                                      <w:sz w:val="22"/>
                                      <w:szCs w:val="22"/>
                                      <w:lang w:val="es-ES"/>
                                    </w:rPr>
                                  </w:pPr>
                                </w:p>
                              </w:tc>
                            </w:tr>
                            <w:tr w:rsidR="000D6449" w:rsidRPr="00AA33B2" w14:paraId="250F892C" w14:textId="77777777" w:rsidTr="005D7124">
                              <w:trPr>
                                <w:trHeight w:val="345"/>
                                <w:jc w:val="center"/>
                              </w:trPr>
                              <w:tc>
                                <w:tcPr>
                                  <w:tcW w:w="5383" w:type="dxa"/>
                                </w:tcPr>
                                <w:p w14:paraId="7F65084C" w14:textId="6B77CFAD" w:rsidR="000D6449" w:rsidRPr="000D6449" w:rsidRDefault="000D6449" w:rsidP="008A3787">
                                  <w:pPr>
                                    <w:spacing w:after="80" w:line="300" w:lineRule="exact"/>
                                    <w:jc w:val="left"/>
                                    <w:rPr>
                                      <w:rFonts w:cs="Arial"/>
                                      <w:color w:val="FFFFFF"/>
                                      <w:sz w:val="22"/>
                                      <w:szCs w:val="22"/>
                                      <w:lang w:val="es-ES"/>
                                    </w:rPr>
                                  </w:pP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3pt;width:548.5pt;height:9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" fillcolor="#006747" stroked="f">
                <v:textbox inset="3.5mm,3.3mm,3.5mm,3.3mm">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086F689E" w:rsidR="000D6449" w:rsidRPr="000D6449" w:rsidRDefault="00C4600E" w:rsidP="00C4600E">
                            <w:pPr>
                              <w:spacing w:after="80" w:line="300" w:lineRule="exact"/>
                              <w:rPr>
                                <w:rFonts w:cs="Arial"/>
                                <w:color w:val="FFFFFF"/>
                                <w:sz w:val="22"/>
                                <w:szCs w:val="22"/>
                                <w:lang w:val="es-ES"/>
                              </w:rPr>
                            </w:pPr>
                            <w:r>
                              <w:rPr>
                                <w:rFonts w:cs="Arial"/>
                                <w:color w:val="FFFFFF"/>
                                <w:sz w:val="22"/>
                                <w:szCs w:val="22"/>
                                <w:lang w:val="es"/>
                              </w:rPr>
                              <w:t>Clase C2</w:t>
                            </w:r>
                            <w:r w:rsidR="000D6449" w:rsidRPr="000D6449">
                              <w:rPr>
                                <w:rFonts w:cs="Arial"/>
                                <w:color w:val="FFFFFF"/>
                                <w:sz w:val="22"/>
                                <w:szCs w:val="22"/>
                                <w:lang w:val="es"/>
                              </w:rPr>
                              <w:t xml:space="preserve"> Acc GBP (ISIN: I</w:t>
                            </w:r>
                            <w:r w:rsidRPr="00C4600E">
                              <w:rPr>
                                <w:rFonts w:cs="Arial"/>
                                <w:color w:val="FFFFFF"/>
                                <w:sz w:val="22"/>
                                <w:szCs w:val="22"/>
                                <w:lang w:val="es"/>
                              </w:rPr>
                              <w:t>E00B2PLJ042</w:t>
                            </w:r>
                            <w:r w:rsidR="000D6449" w:rsidRPr="000D6449">
                              <w:rPr>
                                <w:rFonts w:cs="Arial"/>
                                <w:color w:val="FFFFFF"/>
                                <w:sz w:val="22"/>
                                <w:szCs w:val="22"/>
                                <w:lang w:val="es"/>
                              </w:rPr>
                              <w:t>)</w:t>
                            </w:r>
                          </w:p>
                        </w:tc>
                        <w:tc>
                          <w:tcPr>
                            <w:tcW w:w="5452" w:type="dxa"/>
                          </w:tcPr>
                          <w:p w14:paraId="0D06B7D6" w14:textId="6E670DB1" w:rsidR="000D6449" w:rsidRPr="000D6449" w:rsidRDefault="000D6449" w:rsidP="008A3787">
                            <w:pPr>
                              <w:spacing w:after="80" w:line="300" w:lineRule="exact"/>
                              <w:rPr>
                                <w:rFonts w:cs="Arial"/>
                                <w:color w:val="FFFFFF"/>
                                <w:sz w:val="22"/>
                                <w:szCs w:val="22"/>
                                <w:lang w:val="es-ES"/>
                              </w:rPr>
                            </w:pPr>
                          </w:p>
                        </w:tc>
                      </w:tr>
                      <w:tr w:rsidR="000D6449" w:rsidRPr="00AA33B2" w14:paraId="250F892C" w14:textId="77777777" w:rsidTr="005D7124">
                        <w:trPr>
                          <w:trHeight w:val="345"/>
                          <w:jc w:val="center"/>
                        </w:trPr>
                        <w:tc>
                          <w:tcPr>
                            <w:tcW w:w="5383" w:type="dxa"/>
                          </w:tcPr>
                          <w:p w14:paraId="7F65084C" w14:textId="6B77CFAD" w:rsidR="000D6449" w:rsidRPr="000D6449" w:rsidRDefault="000D6449" w:rsidP="008A3787">
                            <w:pPr>
                              <w:spacing w:after="80" w:line="300" w:lineRule="exact"/>
                              <w:jc w:val="left"/>
                              <w:rPr>
                                <w:rFonts w:cs="Arial"/>
                                <w:color w:val="FFFFFF"/>
                                <w:sz w:val="22"/>
                                <w:szCs w:val="22"/>
                                <w:lang w:val="es-ES"/>
                              </w:rPr>
                            </w:pP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5B42923B" w:rsidR="005B6E23" w:rsidRDefault="00CD5D73">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40B8B417">
                <wp:simplePos x="0" y="0"/>
                <wp:positionH relativeFrom="column">
                  <wp:posOffset>-666750</wp:posOffset>
                </wp:positionH>
                <wp:positionV relativeFrom="paragraph">
                  <wp:posOffset>1464310</wp:posOffset>
                </wp:positionV>
                <wp:extent cx="3437255" cy="25908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0D6449" w:rsidRPr="00AE7351" w:rsidRDefault="000D6449" w:rsidP="00CD5D73">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CD5D73">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CD5D73">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CD5D73">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0D6449" w:rsidRPr="008335CB" w:rsidRDefault="000D6449" w:rsidP="00CD5D73">
                            <w:pPr>
                              <w:pStyle w:val="KIIDtext1"/>
                              <w:spacing w:line="230" w:lineRule="exact"/>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5.3pt;width:270.6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gm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" stroked="f">
                <v:textbox>
                  <w:txbxContent>
                    <w:p w14:paraId="518CCCC5" w14:textId="77777777" w:rsidR="000D6449" w:rsidRPr="00AE7351" w:rsidRDefault="000D6449" w:rsidP="00CD5D73">
                      <w:pPr>
                        <w:pStyle w:val="KIIDtext1"/>
                        <w:spacing w:after="80" w:line="230" w:lineRule="exact"/>
                        <w:rPr>
                          <w:sz w:val="17"/>
                          <w:lang w:val="es-ES"/>
                        </w:rPr>
                      </w:pPr>
                      <w:bookmarkStart w:id="1" w:name="_GoBack"/>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CD5D73">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CD5D73">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CD5D73">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bookmarkEnd w:id="1"/>
                    <w:p w14:paraId="6F306050" w14:textId="77777777" w:rsidR="000D6449" w:rsidRPr="008335CB" w:rsidRDefault="000D6449" w:rsidP="00CD5D73">
                      <w:pPr>
                        <w:pStyle w:val="KIIDtext1"/>
                        <w:spacing w:line="230" w:lineRule="exact"/>
                        <w:rPr>
                          <w:sz w:val="17"/>
                          <w:lang w:val="es-ES"/>
                        </w:rPr>
                      </w:pPr>
                    </w:p>
                  </w:txbxContent>
                </v:textbox>
              </v:shape>
            </w:pict>
          </mc:Fallback>
        </mc:AlternateContent>
      </w:r>
      <w:r w:rsidR="00C4600E">
        <w:rPr>
          <w:noProof/>
          <w:lang w:val="de-DE" w:eastAsia="ja-JP"/>
        </w:rPr>
        <mc:AlternateContent>
          <mc:Choice Requires="wps">
            <w:drawing>
              <wp:anchor distT="0" distB="0" distL="114300" distR="114300" simplePos="0" relativeHeight="251663360" behindDoc="0" locked="0" layoutInCell="1" allowOverlap="1" wp14:anchorId="16C457A2" wp14:editId="351AEC95">
                <wp:simplePos x="0" y="0"/>
                <wp:positionH relativeFrom="column">
                  <wp:posOffset>-681990</wp:posOffset>
                </wp:positionH>
                <wp:positionV relativeFrom="paragraph">
                  <wp:posOffset>1274445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3.7pt;margin-top:100.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hQIAABc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" stroked="f">
                <v:textbo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6321C">
        <w:rPr>
          <w:noProof/>
          <w:lang w:val="de-DE" w:eastAsia="ja-JP"/>
        </w:rPr>
        <mc:AlternateContent>
          <mc:Choice Requires="wps">
            <w:drawing>
              <wp:anchor distT="0" distB="0" distL="114300" distR="114300" simplePos="0" relativeHeight="251665408" behindDoc="0" locked="0" layoutInCell="1" allowOverlap="1" wp14:anchorId="09804B6A" wp14:editId="635C962E">
                <wp:simplePos x="0" y="0"/>
                <wp:positionH relativeFrom="column">
                  <wp:posOffset>2733675</wp:posOffset>
                </wp:positionH>
                <wp:positionV relativeFrom="paragraph">
                  <wp:posOffset>1359536</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5.25pt;margin-top:107.05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" stroked="f">
                <v:textbo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0D6449" w:rsidRDefault="000D6449"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BEKtNmhQIAABEFAAAOAAAAAAAAAAAAAAAAAC4CAABkcnMvZTJvRG9jLnhtbFBLAQItABQABgAI&#10;AAAAIQCnSvHi4QAAAAwBAAAPAAAAAAAAAAAAAAAAAN8EAABkcnMvZG93bnJldi54bWxQSwUGAAAA&#10;AAQABADzAAAA7QUAAAAA&#10;" filled="f" strokecolor="#006747">
                <v:textbox>
                  <w:txbxContent>
                    <w:p w14:paraId="761AD6B8" w14:textId="77777777" w:rsidR="000D6449" w:rsidRDefault="000D6449"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85"/>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Fr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85"/>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23F0BDF9">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wR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" stroked="f">
                <v:textbo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0D6449" w:rsidRPr="006F31C1" w:rsidRDefault="000D6449"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0D6449" w:rsidRPr="006F31C1" w:rsidRDefault="000D6449"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6114" w:tblpY="-509"/>
        <w:tblW w:w="5245" w:type="dxa"/>
        <w:tblCellMar>
          <w:top w:w="28" w:type="dxa"/>
        </w:tblCellMar>
        <w:tblLook w:val="04A0" w:firstRow="1" w:lastRow="0" w:firstColumn="1" w:lastColumn="0" w:noHBand="0" w:noVBand="1"/>
      </w:tblPr>
      <w:tblGrid>
        <w:gridCol w:w="1520"/>
        <w:gridCol w:w="748"/>
        <w:gridCol w:w="65"/>
        <w:gridCol w:w="236"/>
        <w:gridCol w:w="1517"/>
        <w:gridCol w:w="1159"/>
      </w:tblGrid>
      <w:tr w:rsidR="001E5340" w:rsidRPr="00AA33B2" w14:paraId="6A6BDDF6" w14:textId="77777777" w:rsidTr="00A573AF">
        <w:trPr>
          <w:trHeight w:val="283"/>
        </w:trPr>
        <w:tc>
          <w:tcPr>
            <w:tcW w:w="5245" w:type="dxa"/>
            <w:gridSpan w:val="6"/>
            <w:shd w:val="clear" w:color="auto" w:fill="006747"/>
          </w:tcPr>
          <w:p w14:paraId="72ACCE1B" w14:textId="77777777" w:rsidR="001E5340" w:rsidRPr="008335CB" w:rsidRDefault="001E5340" w:rsidP="00A573AF">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A573AF">
        <w:tc>
          <w:tcPr>
            <w:tcW w:w="1520" w:type="dxa"/>
            <w:tcBorders>
              <w:bottom w:val="single" w:sz="8" w:space="0" w:color="CCE1DA"/>
            </w:tcBorders>
            <w:shd w:val="clear" w:color="auto" w:fill="CCE1DA"/>
          </w:tcPr>
          <w:p w14:paraId="472F25D2"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A573AF">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159" w:type="dxa"/>
            <w:tcBorders>
              <w:bottom w:val="single" w:sz="8" w:space="0" w:color="CCE1DA"/>
              <w:right w:val="single" w:sz="8" w:space="0" w:color="CCE1DA"/>
            </w:tcBorders>
            <w:shd w:val="clear" w:color="auto" w:fill="auto"/>
          </w:tcPr>
          <w:p w14:paraId="3F520013"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A573AF">
        <w:tc>
          <w:tcPr>
            <w:tcW w:w="5245" w:type="dxa"/>
            <w:gridSpan w:val="6"/>
            <w:shd w:val="clear" w:color="auto" w:fill="auto"/>
          </w:tcPr>
          <w:p w14:paraId="051B3B2A" w14:textId="77777777" w:rsidR="001E5340" w:rsidRPr="008335CB" w:rsidRDefault="001E5340" w:rsidP="00A573AF">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A573AF">
        <w:trPr>
          <w:trHeight w:val="283"/>
        </w:trPr>
        <w:tc>
          <w:tcPr>
            <w:tcW w:w="5245" w:type="dxa"/>
            <w:gridSpan w:val="6"/>
            <w:shd w:val="clear" w:color="auto" w:fill="006747"/>
          </w:tcPr>
          <w:p w14:paraId="66C47F2C" w14:textId="77777777" w:rsidR="001E5340" w:rsidRPr="008335CB" w:rsidRDefault="001E5340" w:rsidP="00A573AF">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A573AF">
        <w:tc>
          <w:tcPr>
            <w:tcW w:w="2268" w:type="dxa"/>
            <w:gridSpan w:val="2"/>
            <w:tcBorders>
              <w:bottom w:val="single" w:sz="8" w:space="0" w:color="CCE1DA"/>
            </w:tcBorders>
            <w:shd w:val="clear" w:color="auto" w:fill="CCE1DA"/>
          </w:tcPr>
          <w:p w14:paraId="5854F10B"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2977" w:type="dxa"/>
            <w:gridSpan w:val="4"/>
            <w:tcBorders>
              <w:bottom w:val="single" w:sz="8" w:space="0" w:color="CCE1DA"/>
              <w:right w:val="single" w:sz="8" w:space="0" w:color="CCE1DA"/>
            </w:tcBorders>
            <w:shd w:val="clear" w:color="auto" w:fill="auto"/>
          </w:tcPr>
          <w:p w14:paraId="4DB0214A" w14:textId="6BD8B914" w:rsidR="001E5340" w:rsidRPr="003206E5" w:rsidRDefault="00C4600E" w:rsidP="00A573AF">
            <w:pPr>
              <w:pStyle w:val="KIIDtext1"/>
              <w:autoSpaceDE w:val="0"/>
              <w:autoSpaceDN w:val="0"/>
              <w:adjustRightInd w:val="0"/>
              <w:spacing w:line="200" w:lineRule="exact"/>
              <w:rPr>
                <w:rFonts w:cs="Arial"/>
                <w:b/>
                <w:sz w:val="16"/>
                <w:szCs w:val="16"/>
              </w:rPr>
            </w:pPr>
            <w:r>
              <w:rPr>
                <w:rFonts w:cs="Arial"/>
                <w:sz w:val="16"/>
                <w:szCs w:val="16"/>
                <w:lang w:val="es"/>
              </w:rPr>
              <w:t>1,9</w:t>
            </w:r>
            <w:r w:rsidR="001E5340">
              <w:rPr>
                <w:rFonts w:cs="Arial"/>
                <w:sz w:val="16"/>
                <w:szCs w:val="16"/>
                <w:lang w:val="es"/>
              </w:rPr>
              <w:t>3%</w:t>
            </w:r>
          </w:p>
        </w:tc>
      </w:tr>
      <w:tr w:rsidR="001E5340" w:rsidRPr="00AA33B2" w14:paraId="0568334A" w14:textId="77777777" w:rsidTr="00A573AF">
        <w:trPr>
          <w:trHeight w:val="283"/>
        </w:trPr>
        <w:tc>
          <w:tcPr>
            <w:tcW w:w="5245" w:type="dxa"/>
            <w:gridSpan w:val="6"/>
            <w:shd w:val="clear" w:color="auto" w:fill="006747"/>
          </w:tcPr>
          <w:p w14:paraId="29498B0D" w14:textId="77777777" w:rsidR="001E5340" w:rsidRPr="00AE7351" w:rsidRDefault="001E5340" w:rsidP="00A573AF">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14159D">
        <w:trPr>
          <w:trHeight w:val="986"/>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A573AF">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2977"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A573AF">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1BF0BD77" w:rsidR="001E5340" w:rsidRPr="00A573AF" w:rsidRDefault="001E5340" w:rsidP="00C4600E">
            <w:pPr>
              <w:pStyle w:val="KIIDtext1"/>
              <w:autoSpaceDE w:val="0"/>
              <w:autoSpaceDN w:val="0"/>
              <w:adjustRightInd w:val="0"/>
              <w:spacing w:line="170" w:lineRule="exact"/>
              <w:rPr>
                <w:rFonts w:cs="Arial"/>
                <w:sz w:val="14"/>
                <w:szCs w:val="14"/>
                <w:lang w:val="es-ES"/>
              </w:rPr>
            </w:pPr>
            <w:r w:rsidRPr="00A573AF">
              <w:rPr>
                <w:rFonts w:cs="Arial"/>
                <w:sz w:val="14"/>
                <w:szCs w:val="14"/>
                <w:lang w:val="es"/>
              </w:rPr>
              <w:t xml:space="preserve">Rentabilidad mínima: </w:t>
            </w:r>
            <w:r w:rsidR="00C4600E">
              <w:rPr>
                <w:rFonts w:cs="Arial"/>
                <w:sz w:val="14"/>
                <w:szCs w:val="14"/>
                <w:lang w:val="es"/>
              </w:rPr>
              <w:t>SONIA en GBP para las Acciones C2 GBP</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17EE2E26">
                <wp:simplePos x="0" y="0"/>
                <wp:positionH relativeFrom="column">
                  <wp:posOffset>2895600</wp:posOffset>
                </wp:positionH>
                <wp:positionV relativeFrom="paragraph">
                  <wp:posOffset>-354965</wp:posOffset>
                </wp:positionV>
                <wp:extent cx="3482340" cy="2936240"/>
                <wp:effectExtent l="0" t="0" r="22860" b="1651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293624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28pt;margin-top:-27.95pt;width:274.2pt;height:231.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" filled="f" strokecolor="#006747">
                <v:textbo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69F66D94" w:rsidR="00CB0F6B" w:rsidRDefault="0014159D">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39800DDB">
                <wp:simplePos x="0" y="0"/>
                <wp:positionH relativeFrom="column">
                  <wp:posOffset>2962275</wp:posOffset>
                </wp:positionH>
                <wp:positionV relativeFrom="paragraph">
                  <wp:posOffset>250190</wp:posOffset>
                </wp:positionV>
                <wp:extent cx="3363595" cy="516890"/>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3363595" cy="516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33.25pt;margin-top:19.7pt;width:264.85pt;height:4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" fillcolor="white [3201]" stroked="f" strokeweight=".5pt">
                <v:textbox inset="0,0,0,0">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v:textbox>
              </v:shape>
            </w:pict>
          </mc:Fallback>
        </mc:AlternateContent>
      </w:r>
    </w:p>
    <w:p w14:paraId="39853E37" w14:textId="2C44E448" w:rsidR="00CB0F6B" w:rsidRDefault="00CB0F6B">
      <w:pPr>
        <w:widowControl/>
        <w:spacing w:after="160" w:line="259" w:lineRule="auto"/>
        <w:jc w:val="left"/>
      </w:pPr>
    </w:p>
    <w:p w14:paraId="69D20D1C" w14:textId="11099C4A" w:rsidR="00F631E3" w:rsidRDefault="00DF517E">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7119F907">
                <wp:simplePos x="0" y="0"/>
                <wp:positionH relativeFrom="column">
                  <wp:posOffset>-485775</wp:posOffset>
                </wp:positionH>
                <wp:positionV relativeFrom="paragraph">
                  <wp:posOffset>337820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0" type="#_x0000_t202" style="position:absolute;margin-left:-38.25pt;margin-top:26.6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" stroked="f">
                <v:textbo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r w:rsidR="0014159D">
        <w:rPr>
          <w:noProof/>
          <w:color w:val="000000"/>
          <w:lang w:val="de-DE" w:eastAsia="ja-JP"/>
        </w:rPr>
        <mc:AlternateContent>
          <mc:Choice Requires="wps">
            <w:drawing>
              <wp:anchor distT="0" distB="0" distL="114300" distR="114300" simplePos="0" relativeHeight="251680768" behindDoc="0" locked="0" layoutInCell="1" allowOverlap="1" wp14:anchorId="2ED6B05F" wp14:editId="4CD2881E">
                <wp:simplePos x="0" y="0"/>
                <wp:positionH relativeFrom="margin">
                  <wp:posOffset>-506095</wp:posOffset>
                </wp:positionH>
                <wp:positionV relativeFrom="paragraph">
                  <wp:posOffset>289560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915F4" id="_x0000_t32" coordsize="21600,21600" o:spt="32" o:oned="t" path="m,l21600,21600e" filled="f">
                <v:path arrowok="t" fillok="f" o:connecttype="none"/>
                <o:lock v:ext="edit" shapetype="t"/>
              </v:shapetype>
              <v:shape id="AutoShape 129" o:spid="_x0000_s1026" type="#_x0000_t32" style="position:absolute;margin-left:-39.85pt;margin-top:22.8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" strokecolor="#006747">
                <w10:wrap anchorx="margin"/>
              </v:shape>
            </w:pict>
          </mc:Fallback>
        </mc:AlternateContent>
      </w:r>
    </w:p>
    <w:p w14:paraId="4FE81C06" w14:textId="19938DE7" w:rsidR="009813A8" w:rsidRDefault="00DF517E">
      <w:pPr>
        <w:widowControl/>
        <w:spacing w:after="160" w:line="259" w:lineRule="auto"/>
        <w:jc w:val="left"/>
        <w:rPr>
          <w:noProof/>
        </w:rPr>
      </w:pPr>
      <w:r>
        <w:rPr>
          <w:noProof/>
          <w:lang w:val="de-DE" w:eastAsia="ja-JP"/>
        </w:rPr>
        <w:drawing>
          <wp:anchor distT="0" distB="0" distL="114300" distR="114300" simplePos="0" relativeHeight="251655164" behindDoc="0" locked="0" layoutInCell="1" allowOverlap="1" wp14:anchorId="3BBED30A" wp14:editId="7D3BE6F6">
            <wp:simplePos x="0" y="0"/>
            <wp:positionH relativeFrom="column">
              <wp:posOffset>38100</wp:posOffset>
            </wp:positionH>
            <wp:positionV relativeFrom="paragraph">
              <wp:posOffset>243840</wp:posOffset>
            </wp:positionV>
            <wp:extent cx="2895600" cy="18497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849755"/>
                    </a:xfrm>
                    <a:prstGeom prst="rect">
                      <a:avLst/>
                    </a:prstGeom>
                    <a:noFill/>
                  </pic:spPr>
                </pic:pic>
              </a:graphicData>
            </a:graphic>
            <wp14:sizeRelH relativeFrom="page">
              <wp14:pctWidth>0</wp14:pctWidth>
            </wp14:sizeRelH>
            <wp14:sizeRelV relativeFrom="page">
              <wp14:pctHeight>0</wp14:pctHeight>
            </wp14:sizeRelV>
          </wp:anchor>
        </w:drawing>
      </w:r>
    </w:p>
    <w:p w14:paraId="7D153BAF" w14:textId="0DE80850" w:rsidR="00D91E47" w:rsidRDefault="007F4CBB" w:rsidP="009813A8">
      <w:pPr>
        <w:widowControl/>
        <w:spacing w:after="160" w:line="259" w:lineRule="auto"/>
      </w:pPr>
      <w:r>
        <w:rPr>
          <w:noProof/>
          <w:lang w:val="es"/>
        </w:rPr>
        <w:t xml:space="preserve">  </w:t>
      </w:r>
    </w:p>
    <w:p w14:paraId="2FDBC5E8" w14:textId="211023DF" w:rsidR="00D91E47" w:rsidRDefault="0014159D">
      <w:pPr>
        <w:widowControl/>
        <w:spacing w:after="160" w:line="259" w:lineRule="auto"/>
        <w:jc w:val="left"/>
      </w:pPr>
      <w:r>
        <w:rPr>
          <w:noProof/>
          <w:lang w:val="de-DE" w:eastAsia="ja-JP"/>
        </w:rPr>
        <w:t xml:space="preserve"> </w:t>
      </w:r>
    </w:p>
    <w:p w14:paraId="1ED5D735" w14:textId="3403C41F" w:rsidR="001E5340" w:rsidRDefault="001E5340" w:rsidP="001E5340">
      <w:pPr>
        <w:spacing w:after="180" w:line="228" w:lineRule="auto"/>
        <w:rPr>
          <w:color w:val="767171" w:themeColor="background2" w:themeShade="80"/>
          <w:sz w:val="16"/>
          <w:szCs w:val="17"/>
          <w:lang w:val="es"/>
        </w:rPr>
      </w:pPr>
    </w:p>
    <w:p w14:paraId="6D0643D5" w14:textId="6FF6E99B" w:rsidR="0014159D" w:rsidRDefault="0014159D" w:rsidP="001E5340">
      <w:pPr>
        <w:spacing w:after="180" w:line="228" w:lineRule="auto"/>
        <w:rPr>
          <w:color w:val="767171" w:themeColor="background2" w:themeShade="80"/>
          <w:sz w:val="16"/>
          <w:szCs w:val="17"/>
          <w:lang w:val="es"/>
        </w:rPr>
      </w:pPr>
    </w:p>
    <w:p w14:paraId="24653399" w14:textId="7B9BE7EA" w:rsidR="0014159D" w:rsidRDefault="0014159D" w:rsidP="001E5340">
      <w:pPr>
        <w:spacing w:after="180" w:line="228" w:lineRule="auto"/>
        <w:rPr>
          <w:color w:val="767171" w:themeColor="background2" w:themeShade="80"/>
          <w:sz w:val="16"/>
          <w:szCs w:val="17"/>
          <w:lang w:val="es"/>
        </w:rPr>
      </w:pPr>
    </w:p>
    <w:p w14:paraId="597939BD" w14:textId="73EE97DE" w:rsidR="0014159D" w:rsidRDefault="0014159D" w:rsidP="001E5340">
      <w:pPr>
        <w:spacing w:after="180" w:line="228" w:lineRule="auto"/>
        <w:rPr>
          <w:color w:val="767171" w:themeColor="background2" w:themeShade="80"/>
          <w:sz w:val="16"/>
          <w:szCs w:val="17"/>
          <w:lang w:val="es"/>
        </w:rPr>
      </w:pPr>
    </w:p>
    <w:p w14:paraId="1AA8FA9A" w14:textId="033817B9" w:rsidR="0014159D" w:rsidRDefault="0014159D" w:rsidP="001E5340">
      <w:pPr>
        <w:spacing w:after="180" w:line="228" w:lineRule="auto"/>
        <w:rPr>
          <w:color w:val="767171" w:themeColor="background2" w:themeShade="80"/>
          <w:sz w:val="16"/>
          <w:szCs w:val="17"/>
          <w:lang w:val="es"/>
        </w:rPr>
      </w:pPr>
      <w:r>
        <w:rPr>
          <w:noProof/>
          <w:lang w:val="de-DE" w:eastAsia="ja-JP"/>
        </w:rPr>
        <mc:AlternateContent>
          <mc:Choice Requires="wps">
            <w:drawing>
              <wp:anchor distT="0" distB="0" distL="114300" distR="114300" simplePos="0" relativeHeight="251657214" behindDoc="0" locked="0" layoutInCell="1" allowOverlap="1" wp14:anchorId="652E6D33" wp14:editId="1CFD16DF">
                <wp:simplePos x="0" y="0"/>
                <wp:positionH relativeFrom="column">
                  <wp:posOffset>-628650</wp:posOffset>
                </wp:positionH>
                <wp:positionV relativeFrom="paragraph">
                  <wp:posOffset>259715</wp:posOffset>
                </wp:positionV>
                <wp:extent cx="7086600" cy="5619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71F1932B" w:rsidR="000D6449" w:rsidRPr="008335CB" w:rsidRDefault="000D6449" w:rsidP="00C4600E">
                            <w:pPr>
                              <w:pStyle w:val="KIIDtext1"/>
                              <w:spacing w:line="21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El porcentaje de rentabilidad histórica que se indica en los anteriores gráficos incluye todos los gastos operativos y de gestión en los que han i</w:t>
                            </w:r>
                            <w:r w:rsidR="00C4600E">
                              <w:rPr>
                                <w:rFonts w:ascii="ArialMT" w:eastAsiaTheme="minorHAnsi" w:hAnsi="ArialMT" w:cs="ArialMT"/>
                                <w:sz w:val="14"/>
                                <w:szCs w:val="14"/>
                                <w:lang w:val="es"/>
                              </w:rPr>
                              <w:t xml:space="preserve">ncurrido las Acciones de Clase C2 </w:t>
                            </w:r>
                            <w:r w:rsidR="00C4600E" w:rsidRPr="00DA4E04">
                              <w:rPr>
                                <w:rFonts w:ascii="ArialMT" w:eastAsiaTheme="minorHAnsi" w:hAnsi="ArialMT" w:cs="ArialMT"/>
                                <w:sz w:val="14"/>
                                <w:szCs w:val="14"/>
                                <w:lang w:val="es"/>
                              </w:rPr>
                              <w:t>Acumulación</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0"/>
                          <w:bookmarkEnd w:id="1"/>
                          <w:bookmarkEnd w:id="2"/>
                          <w:bookmarkEnd w:id="3"/>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left:0;text-align:left;margin-left:-49.5pt;margin-top:20.45pt;width:558pt;height:44.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" stroked="f">
                <v:textbox inset="0,.5mm,0,.5mm">
                  <w:txbxContent>
                    <w:p w14:paraId="18760CF8" w14:textId="71F1932B" w:rsidR="000D6449" w:rsidRPr="008335CB" w:rsidRDefault="000D6449" w:rsidP="00C4600E">
                      <w:pPr>
                        <w:pStyle w:val="KIIDtext1"/>
                        <w:spacing w:line="210" w:lineRule="exact"/>
                        <w:rPr>
                          <w:rFonts w:ascii="ArialMT" w:eastAsiaTheme="minorHAnsi" w:hAnsi="ArialMT" w:cs="ArialMT"/>
                          <w:sz w:val="14"/>
                          <w:szCs w:val="14"/>
                          <w:lang w:val="es-ES"/>
                        </w:rPr>
                      </w:pPr>
                      <w:bookmarkStart w:id="6" w:name="_Hlk106031432"/>
                      <w:bookmarkStart w:id="7" w:name="_Hlk106031433"/>
                      <w:bookmarkStart w:id="8" w:name="_Hlk106031434"/>
                      <w:bookmarkStart w:id="9" w:name="_Hlk106031435"/>
                      <w:r>
                        <w:rPr>
                          <w:rFonts w:ascii="ArialMT" w:eastAsiaTheme="minorHAnsi" w:hAnsi="ArialMT" w:cs="ArialMT"/>
                          <w:sz w:val="14"/>
                          <w:szCs w:val="14"/>
                          <w:lang w:val="es"/>
                        </w:rPr>
                        <w:t>El porcentaje de rentabilidad histórica que se indica en los anteriores gráficos incluye todos los gastos operativos y de gestión en los que han i</w:t>
                      </w:r>
                      <w:r w:rsidR="00C4600E">
                        <w:rPr>
                          <w:rFonts w:ascii="ArialMT" w:eastAsiaTheme="minorHAnsi" w:hAnsi="ArialMT" w:cs="ArialMT"/>
                          <w:sz w:val="14"/>
                          <w:szCs w:val="14"/>
                          <w:lang w:val="es"/>
                        </w:rPr>
                        <w:t xml:space="preserve">ncurrido las Acciones de Clase C2 </w:t>
                      </w:r>
                      <w:r w:rsidR="00C4600E" w:rsidRPr="00DA4E04">
                        <w:rPr>
                          <w:rFonts w:ascii="ArialMT" w:eastAsiaTheme="minorHAnsi" w:hAnsi="ArialMT" w:cs="ArialMT"/>
                          <w:sz w:val="14"/>
                          <w:szCs w:val="14"/>
                          <w:lang w:val="es"/>
                        </w:rPr>
                        <w:t>Acumulación</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6"/>
                    <w:bookmarkEnd w:id="7"/>
                    <w:bookmarkEnd w:id="8"/>
                    <w:bookmarkEnd w:id="9"/>
                  </w:txbxContent>
                </v:textbox>
              </v:shape>
            </w:pict>
          </mc:Fallback>
        </mc:AlternateContent>
      </w:r>
    </w:p>
    <w:p w14:paraId="5FA2B1D9" w14:textId="33F6195F" w:rsidR="0014159D" w:rsidRDefault="0014159D" w:rsidP="001E5340">
      <w:pPr>
        <w:spacing w:after="180" w:line="228" w:lineRule="auto"/>
        <w:rPr>
          <w:color w:val="767171" w:themeColor="background2" w:themeShade="80"/>
          <w:sz w:val="16"/>
          <w:szCs w:val="17"/>
          <w:lang w:val="es"/>
        </w:rPr>
      </w:pPr>
    </w:p>
    <w:p w14:paraId="7F8DABBE" w14:textId="111FF808" w:rsidR="0014159D" w:rsidRDefault="0014159D" w:rsidP="001E5340">
      <w:pPr>
        <w:spacing w:after="180" w:line="228" w:lineRule="auto"/>
        <w:rPr>
          <w:color w:val="767171" w:themeColor="background2" w:themeShade="80"/>
          <w:sz w:val="16"/>
          <w:szCs w:val="17"/>
          <w:lang w:val="es"/>
        </w:rPr>
      </w:pPr>
    </w:p>
    <w:p w14:paraId="79029706" w14:textId="392FB436" w:rsidR="0014159D" w:rsidRDefault="0014159D" w:rsidP="001E5340">
      <w:pPr>
        <w:spacing w:after="180" w:line="228" w:lineRule="auto"/>
        <w:rPr>
          <w:color w:val="767171" w:themeColor="background2" w:themeShade="80"/>
          <w:sz w:val="16"/>
          <w:szCs w:val="17"/>
          <w:lang w:val="es"/>
        </w:rPr>
      </w:pPr>
      <w:r>
        <w:rPr>
          <w:noProof/>
          <w:lang w:val="de-DE" w:eastAsia="ja-JP"/>
        </w:rPr>
        <mc:AlternateContent>
          <mc:Choice Requires="wps">
            <w:drawing>
              <wp:anchor distT="0" distB="0" distL="114300" distR="114300" simplePos="0" relativeHeight="251688960" behindDoc="0" locked="0" layoutInCell="1" allowOverlap="1" wp14:anchorId="05C78577" wp14:editId="2785FD9D">
                <wp:simplePos x="0" y="0"/>
                <wp:positionH relativeFrom="column">
                  <wp:posOffset>-487045</wp:posOffset>
                </wp:positionH>
                <wp:positionV relativeFrom="paragraph">
                  <wp:posOffset>232410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left:0;text-align:left;margin-left:-38.35pt;margin-top:18.3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" stroked="f">
                <v:textbo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76215527">
                <wp:simplePos x="0" y="0"/>
                <wp:positionH relativeFrom="margin">
                  <wp:posOffset>-550545</wp:posOffset>
                </wp:positionH>
                <wp:positionV relativeFrom="paragraph">
                  <wp:posOffset>184785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C38D2" id="AutoShape 134" o:spid="_x0000_s1026" type="#_x0000_t32" style="position:absolute;margin-left:-43.35pt;margin-top:14.5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" strokecolor="#006747">
                <w10:wrap anchorx="margin"/>
              </v:shape>
            </w:pict>
          </mc:Fallback>
        </mc:AlternateContent>
      </w:r>
    </w:p>
    <w:p w14:paraId="7368BCE2" w14:textId="346A958A" w:rsidR="0014159D" w:rsidRPr="001E5340" w:rsidRDefault="0014159D" w:rsidP="001E5340">
      <w:pPr>
        <w:spacing w:after="180" w:line="228" w:lineRule="auto"/>
        <w:rPr>
          <w:color w:val="767171" w:themeColor="background2" w:themeShade="80"/>
          <w:sz w:val="16"/>
          <w:szCs w:val="17"/>
          <w:lang w:val="es-ES"/>
        </w:rPr>
      </w:pPr>
      <w:r>
        <w:rPr>
          <w:noProof/>
          <w:lang w:val="de-DE" w:eastAsia="ja-JP"/>
        </w:rPr>
        <mc:AlternateContent>
          <mc:Choice Requires="wps">
            <w:drawing>
              <wp:anchor distT="0" distB="0" distL="114300" distR="114300" simplePos="0" relativeHeight="251691008" behindDoc="0" locked="0" layoutInCell="1" allowOverlap="1" wp14:anchorId="433AE50E" wp14:editId="70F42FE5">
                <wp:simplePos x="0" y="0"/>
                <wp:positionH relativeFrom="column">
                  <wp:posOffset>3019425</wp:posOffset>
                </wp:positionH>
                <wp:positionV relativeFrom="paragraph">
                  <wp:posOffset>53975</wp:posOffset>
                </wp:positionV>
                <wp:extent cx="3438525" cy="2676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left:0;text-align:left;margin-left:237.75pt;margin-top:4.25pt;width:270.75pt;height:2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aR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" stroked="f">
                <v:textbo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12" w:name="_Hlk106030897"/>
                      <w:bookmarkStart w:id="13"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93056" behindDoc="0" locked="0" layoutInCell="1" allowOverlap="1" wp14:anchorId="49686F48" wp14:editId="77F7A1DA">
                <wp:simplePos x="0" y="0"/>
                <wp:positionH relativeFrom="column">
                  <wp:posOffset>-466725</wp:posOffset>
                </wp:positionH>
                <wp:positionV relativeFrom="paragraph">
                  <wp:posOffset>196850</wp:posOffset>
                </wp:positionV>
                <wp:extent cx="3359150" cy="2590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57020387"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https://www.cqs.com/documents/regulatory-disclosures/cqs_ucits_remuneration_policy.pdf </w:t>
                            </w:r>
                          </w:p>
                          <w:p w14:paraId="13585DF8" w14:textId="47CA0370"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https://kbassociates.ie. Puede obtenerse una copia gratuita en papel de la política de remuneración si así se solicita. </w:t>
                            </w:r>
                          </w:p>
                          <w:p w14:paraId="4019ABE4" w14:textId="1EA520E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left:0;text-align:left;margin-left:-36.75pt;margin-top:15.5pt;width:264.5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JLhwIAABk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" stroked="f">
                <v:textbox>
                  <w:txbxContent>
                    <w:p w14:paraId="0AF27AA9" w14:textId="57020387"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https://www.cqs.com/documents/regulatory-disclosures/cqs_ucits_remuneration_policy.pdf </w:t>
                      </w:r>
                    </w:p>
                    <w:p w14:paraId="13585DF8" w14:textId="47CA0370"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https://kbassociates.ie. Puede obtenerse una copia gratuita en papel de la política de remuneración si así se solicita. </w:t>
                      </w:r>
                    </w:p>
                    <w:p w14:paraId="4019ABE4" w14:textId="1EA520E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v:textbox>
              </v:shape>
            </w:pict>
          </mc:Fallback>
        </mc:AlternateContent>
      </w:r>
    </w:p>
    <w:p w14:paraId="59D3C0D3" w14:textId="423AED99" w:rsidR="00D91E47" w:rsidRDefault="00D91E47">
      <w:pPr>
        <w:widowControl/>
        <w:spacing w:after="160" w:line="259" w:lineRule="auto"/>
        <w:jc w:val="left"/>
      </w:pPr>
    </w:p>
    <w:p w14:paraId="03DC48A2" w14:textId="6818BBFB" w:rsidR="005B6E23" w:rsidRDefault="0014159D">
      <w:pPr>
        <w:widowControl/>
        <w:spacing w:after="160" w:line="259" w:lineRule="auto"/>
        <w:jc w:val="left"/>
      </w:pPr>
      <w:r w:rsidRPr="00F00EEE">
        <w:rPr>
          <w:noProof/>
          <w:lang w:val="de-DE" w:eastAsia="ja-JP"/>
        </w:rPr>
        <w:drawing>
          <wp:anchor distT="0" distB="0" distL="114300" distR="114300" simplePos="0" relativeHeight="251710464" behindDoc="0" locked="0" layoutInCell="1" allowOverlap="1" wp14:anchorId="07F92312" wp14:editId="267DF024">
            <wp:simplePos x="0" y="0"/>
            <wp:positionH relativeFrom="column">
              <wp:posOffset>4305300</wp:posOffset>
            </wp:positionH>
            <wp:positionV relativeFrom="paragraph">
              <wp:posOffset>3619500</wp:posOffset>
            </wp:positionV>
            <wp:extent cx="1276350" cy="5994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44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ja-JP"/>
        </w:rPr>
        <mc:AlternateContent>
          <mc:Choice Requires="wps">
            <w:drawing>
              <wp:anchor distT="0" distB="0" distL="114300" distR="114300" simplePos="0" relativeHeight="251695104" behindDoc="0" locked="0" layoutInCell="1" allowOverlap="1" wp14:anchorId="4246B9A2" wp14:editId="17F0886B">
                <wp:simplePos x="0" y="0"/>
                <wp:positionH relativeFrom="column">
                  <wp:posOffset>-552450</wp:posOffset>
                </wp:positionH>
                <wp:positionV relativeFrom="paragraph">
                  <wp:posOffset>2209800</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7F0DF889" w:rsidR="000D6449" w:rsidRPr="008335CB" w:rsidRDefault="000D6449" w:rsidP="00BE23F1">
                            <w:pPr>
                              <w:spacing w:line="19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la distribución de las Acciones del correspondiente Fondo de CQS en o desde Suiza. CQS (UK) LLP (en calidad de entidad comercializadora en Suiza) y sus agentes no paga</w:t>
                            </w:r>
                            <w:bookmarkStart w:id="6" w:name="_GoBack"/>
                            <w:bookmarkEnd w:id="6"/>
                            <w:r w:rsidRPr="00AE7351">
                              <w:rPr>
                                <w:rFonts w:cs="Arial"/>
                                <w:color w:val="A6A6A6"/>
                                <w:sz w:val="14"/>
                                <w:szCs w:val="14"/>
                                <w:lang w:val="es"/>
                              </w:rPr>
                              <w:t xml:space="preserve">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BE23F1">
                              <w:rPr>
                                <w:rFonts w:cs="Arial"/>
                                <w:color w:val="A6A6A6"/>
                                <w:sz w:val="14"/>
                                <w:szCs w:val="14"/>
                                <w:lang w:val="es-ES"/>
                              </w:rPr>
                              <w:t>8 de agosto de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43.5pt;margin-top:174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" filled="f" fillcolor="#cce1da" stroked="f" strokecolor="#006747">
                <v:textbox>
                  <w:txbxContent>
                    <w:p w14:paraId="41D22610" w14:textId="7F0DF889" w:rsidR="000D6449" w:rsidRPr="008335CB" w:rsidRDefault="000D6449" w:rsidP="00BE23F1">
                      <w:pPr>
                        <w:spacing w:line="19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la distribución de las Acciones del correspondiente Fondo de CQS en o desde Suiza. CQS (UK) LLP (en calidad de entidad comercializadora en Suiza) y sus agentes no paga</w:t>
                      </w:r>
                      <w:bookmarkStart w:id="7" w:name="_GoBack"/>
                      <w:bookmarkEnd w:id="7"/>
                      <w:r w:rsidRPr="00AE7351">
                        <w:rPr>
                          <w:rFonts w:cs="Arial"/>
                          <w:color w:val="A6A6A6"/>
                          <w:sz w:val="14"/>
                          <w:szCs w:val="14"/>
                          <w:lang w:val="es"/>
                        </w:rPr>
                        <w:t xml:space="preserve">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BE23F1">
                        <w:rPr>
                          <w:rFonts w:cs="Arial"/>
                          <w:color w:val="A6A6A6"/>
                          <w:sz w:val="14"/>
                          <w:szCs w:val="14"/>
                          <w:lang w:val="es-ES"/>
                        </w:rPr>
                        <w:t>8 de agosto de 2022.</w:t>
                      </w:r>
                    </w:p>
                  </w:txbxContent>
                </v:textbox>
              </v:shape>
            </w:pict>
          </mc:Fallback>
        </mc:AlternateContent>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2"/>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33C8A" w14:textId="77777777" w:rsidR="000D6449" w:rsidRDefault="000D6449" w:rsidP="005B6E23">
      <w:pPr>
        <w:spacing w:line="240" w:lineRule="auto"/>
      </w:pPr>
      <w:r>
        <w:separator/>
      </w:r>
    </w:p>
  </w:endnote>
  <w:endnote w:type="continuationSeparator" w:id="0">
    <w:p w14:paraId="5310BF5B" w14:textId="77777777" w:rsidR="000D6449" w:rsidRDefault="000D6449"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4D24" w14:textId="10930E68" w:rsidR="000D6449" w:rsidRDefault="000D6449">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BE23F1">
      <w:rPr>
        <w:caps/>
        <w:noProof/>
        <w:color w:val="5B9BD5" w:themeColor="accent1"/>
        <w:lang w:val="es"/>
      </w:rPr>
      <w:t>2</w:t>
    </w:r>
    <w:r>
      <w:rPr>
        <w:caps/>
        <w:noProof/>
        <w:color w:val="5B9BD5" w:themeColor="accent1"/>
        <w:lang w:val="es"/>
      </w:rPr>
      <w:fldChar w:fldCharType="end"/>
    </w:r>
  </w:p>
  <w:p w14:paraId="549331D9" w14:textId="77777777" w:rsidR="000D6449" w:rsidRDefault="000D6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2D7B5" w14:textId="77777777" w:rsidR="000D6449" w:rsidRDefault="000D6449" w:rsidP="005B6E23">
      <w:pPr>
        <w:spacing w:line="240" w:lineRule="auto"/>
      </w:pPr>
      <w:r>
        <w:separator/>
      </w:r>
    </w:p>
  </w:footnote>
  <w:footnote w:type="continuationSeparator" w:id="0">
    <w:p w14:paraId="5F57E21E" w14:textId="77777777" w:rsidR="000D6449" w:rsidRDefault="000D6449" w:rsidP="005B6E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8"/>
  </w:num>
  <w:num w:numId="5">
    <w:abstractNumId w:val="0"/>
  </w:num>
  <w:num w:numId="6">
    <w:abstractNumId w:val="4"/>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10"/>
    <w:rsid w:val="0000135C"/>
    <w:rsid w:val="000303E2"/>
    <w:rsid w:val="00030BF2"/>
    <w:rsid w:val="000503E0"/>
    <w:rsid w:val="000769B6"/>
    <w:rsid w:val="000934DB"/>
    <w:rsid w:val="000D6449"/>
    <w:rsid w:val="001266C0"/>
    <w:rsid w:val="00130536"/>
    <w:rsid w:val="00132C0D"/>
    <w:rsid w:val="0014159D"/>
    <w:rsid w:val="00150151"/>
    <w:rsid w:val="001576C6"/>
    <w:rsid w:val="00162886"/>
    <w:rsid w:val="00166B27"/>
    <w:rsid w:val="0017638F"/>
    <w:rsid w:val="00182EA0"/>
    <w:rsid w:val="00185913"/>
    <w:rsid w:val="001B2BEF"/>
    <w:rsid w:val="001B52DF"/>
    <w:rsid w:val="001B5511"/>
    <w:rsid w:val="001D71A7"/>
    <w:rsid w:val="001E5340"/>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38B0"/>
    <w:rsid w:val="004D7DB2"/>
    <w:rsid w:val="004F53A0"/>
    <w:rsid w:val="00500696"/>
    <w:rsid w:val="005321A2"/>
    <w:rsid w:val="00544AD5"/>
    <w:rsid w:val="00547654"/>
    <w:rsid w:val="00551CA0"/>
    <w:rsid w:val="005542CF"/>
    <w:rsid w:val="0056321C"/>
    <w:rsid w:val="005B2A95"/>
    <w:rsid w:val="005B6E23"/>
    <w:rsid w:val="005D031A"/>
    <w:rsid w:val="005D7124"/>
    <w:rsid w:val="005D7254"/>
    <w:rsid w:val="00601A22"/>
    <w:rsid w:val="00603E62"/>
    <w:rsid w:val="00640079"/>
    <w:rsid w:val="00650319"/>
    <w:rsid w:val="00662DA6"/>
    <w:rsid w:val="0067277D"/>
    <w:rsid w:val="00707D3D"/>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35CB"/>
    <w:rsid w:val="00860C1C"/>
    <w:rsid w:val="00872332"/>
    <w:rsid w:val="00883D68"/>
    <w:rsid w:val="008843CB"/>
    <w:rsid w:val="008A3787"/>
    <w:rsid w:val="008C2A01"/>
    <w:rsid w:val="008E7B34"/>
    <w:rsid w:val="00955956"/>
    <w:rsid w:val="009572C4"/>
    <w:rsid w:val="00963093"/>
    <w:rsid w:val="009813A8"/>
    <w:rsid w:val="0098667B"/>
    <w:rsid w:val="00991A1D"/>
    <w:rsid w:val="009B308D"/>
    <w:rsid w:val="009D5C18"/>
    <w:rsid w:val="009E0691"/>
    <w:rsid w:val="00A0105F"/>
    <w:rsid w:val="00A06BCD"/>
    <w:rsid w:val="00A32750"/>
    <w:rsid w:val="00A35678"/>
    <w:rsid w:val="00A545B1"/>
    <w:rsid w:val="00A573AF"/>
    <w:rsid w:val="00AA1954"/>
    <w:rsid w:val="00AA33B2"/>
    <w:rsid w:val="00AB2C60"/>
    <w:rsid w:val="00AB32D7"/>
    <w:rsid w:val="00AE3529"/>
    <w:rsid w:val="00AE6FDF"/>
    <w:rsid w:val="00AE7351"/>
    <w:rsid w:val="00B03A64"/>
    <w:rsid w:val="00B14CE9"/>
    <w:rsid w:val="00B41427"/>
    <w:rsid w:val="00B41DFE"/>
    <w:rsid w:val="00B74D10"/>
    <w:rsid w:val="00B92CCF"/>
    <w:rsid w:val="00BD0715"/>
    <w:rsid w:val="00BE23F1"/>
    <w:rsid w:val="00C2285A"/>
    <w:rsid w:val="00C320A0"/>
    <w:rsid w:val="00C335ED"/>
    <w:rsid w:val="00C34FC3"/>
    <w:rsid w:val="00C4600E"/>
    <w:rsid w:val="00C92E59"/>
    <w:rsid w:val="00CA5621"/>
    <w:rsid w:val="00CB0F6B"/>
    <w:rsid w:val="00CB6720"/>
    <w:rsid w:val="00CD42A5"/>
    <w:rsid w:val="00CD5D73"/>
    <w:rsid w:val="00D3149A"/>
    <w:rsid w:val="00D7328B"/>
    <w:rsid w:val="00D91E47"/>
    <w:rsid w:val="00D970B3"/>
    <w:rsid w:val="00DA7268"/>
    <w:rsid w:val="00DB7334"/>
    <w:rsid w:val="00DC13F2"/>
    <w:rsid w:val="00DC2CE9"/>
    <w:rsid w:val="00DD263A"/>
    <w:rsid w:val="00DE5EAE"/>
    <w:rsid w:val="00DF3E5A"/>
    <w:rsid w:val="00DF517E"/>
    <w:rsid w:val="00DF6DB3"/>
    <w:rsid w:val="00E0421D"/>
    <w:rsid w:val="00E44BF5"/>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07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1B6F97B5</Template>
  <TotalTime>0</TotalTime>
  <Pages>2</Pages>
  <Words>80</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 Godfrey</cp:lastModifiedBy>
  <cp:revision>27</cp:revision>
  <cp:lastPrinted>2022-03-14T12:29:00Z</cp:lastPrinted>
  <dcterms:created xsi:type="dcterms:W3CDTF">2022-06-13T09:11:00Z</dcterms:created>
  <dcterms:modified xsi:type="dcterms:W3CDTF">2022-08-06T12:59:00Z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