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3CFF02FC" w:rsidR="005B6E23" w:rsidRDefault="0087466C" w:rsidP="005B6E23">
      <w:r>
        <w:rPr>
          <w:noProof/>
          <w:color w:val="000000"/>
          <w:lang w:eastAsia="ja-JP"/>
        </w:rPr>
        <mc:AlternateContent>
          <mc:Choice Requires="wps">
            <w:drawing>
              <wp:anchor distT="0" distB="0" distL="114300" distR="114300" simplePos="0" relativeHeight="251661312" behindDoc="0" locked="0" layoutInCell="1" allowOverlap="1" wp14:anchorId="34CD893F" wp14:editId="51DDBB56">
                <wp:simplePos x="0" y="0"/>
                <wp:positionH relativeFrom="page">
                  <wp:posOffset>0</wp:posOffset>
                </wp:positionH>
                <wp:positionV relativeFrom="paragraph">
                  <wp:posOffset>328295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25CBE" id="_x0000_t32" coordsize="21600,21600" o:spt="32" o:oned="t" path="m,l21600,21600e" filled="f">
                <v:path arrowok="t" fillok="f" o:connecttype="none"/>
                <o:lock v:ext="edit" shapetype="t"/>
              </v:shapetype>
              <v:shape id="AutoShape 94" o:spid="_x0000_s1026" type="#_x0000_t32" style="position:absolute;margin-left:0;margin-top:25.85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" strokecolor="#006747" strokeweight="2pt">
                <w10:wrap anchorx="page"/>
              </v:shape>
            </w:pict>
          </mc:Fallback>
        </mc:AlternateContent>
      </w:r>
      <w:r w:rsidR="00E7589F">
        <w:rPr>
          <w:noProof/>
          <w:lang w:eastAsia="ja-JP"/>
        </w:rPr>
        <w:drawing>
          <wp:anchor distT="0" distB="0" distL="114300" distR="114300" simplePos="0" relativeHeight="251703296" behindDoc="0" locked="0" layoutInCell="1" allowOverlap="1" wp14:anchorId="773F256F" wp14:editId="1F7A960C">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r w:rsidR="00E7589F">
        <w:rPr>
          <w:noProof/>
          <w:lang w:eastAsia="ja-JP"/>
        </w:rPr>
        <mc:AlternateContent>
          <mc:Choice Requires="wps">
            <w:drawing>
              <wp:anchor distT="0" distB="0" distL="114300" distR="114300" simplePos="0" relativeHeight="251659264" behindDoc="0" locked="0" layoutInCell="1" allowOverlap="1" wp14:anchorId="28A12853" wp14:editId="59A3BE54">
                <wp:simplePos x="0" y="0"/>
                <wp:positionH relativeFrom="column">
                  <wp:posOffset>-561975</wp:posOffset>
                </wp:positionH>
                <wp:positionV relativeFrom="paragraph">
                  <wp:posOffset>-590550</wp:posOffset>
                </wp:positionV>
                <wp:extent cx="4685030" cy="798830"/>
                <wp:effectExtent l="635" t="0" r="63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798830"/>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CA44FB" w:rsidRPr="00BA499D" w:rsidRDefault="00CA44FB"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CA44FB" w:rsidRPr="00BA499D" w:rsidRDefault="00CA44FB"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CA44FB" w:rsidRPr="00BA499D" w:rsidRDefault="00CA44FB" w:rsidP="005B6E23">
                            <w:pPr>
                              <w:spacing w:line="200" w:lineRule="exact"/>
                              <w:rPr>
                                <w:color w:val="006747"/>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" fillcolor="#cce1da" stroked="f" strokecolor="#006747" strokeweight="1pt">
                <v:textbox>
                  <w:txbxContent>
                    <w:p w14:paraId="65D8E4D3" w14:textId="77777777" w:rsidR="00CA44FB" w:rsidRPr="00BA499D" w:rsidRDefault="00CA44FB" w:rsidP="005B6E23">
                      <w:pPr>
                        <w:spacing w:line="200" w:lineRule="exact"/>
                        <w:rPr>
                          <w:b/>
                          <w:caps/>
                          <w:color w:val="006747"/>
                          <w:sz w:val="16"/>
                          <w:szCs w:val="16"/>
                        </w:rPr>
                      </w:pPr>
                      <w:r w:rsidRPr="00BA499D">
                        <w:rPr>
                          <w:b/>
                          <w:caps/>
                          <w:color w:val="006747"/>
                          <w:sz w:val="16"/>
                          <w:szCs w:val="16"/>
                        </w:rPr>
                        <w:t>Wesentliche Anlegerinformationen</w:t>
                      </w:r>
                    </w:p>
                    <w:p w14:paraId="4CCF5C9A" w14:textId="050EAB6C" w:rsidR="00CA44FB" w:rsidRPr="00BA499D" w:rsidRDefault="00CA44FB" w:rsidP="005B6E23">
                      <w:pPr>
                        <w:spacing w:line="200" w:lineRule="exact"/>
                        <w:rPr>
                          <w:color w:val="006747"/>
                          <w:sz w:val="16"/>
                          <w:szCs w:val="16"/>
                        </w:rPr>
                      </w:pPr>
                      <w:r w:rsidRPr="00BA499D">
                        <w:rPr>
                          <w:color w:val="006747"/>
                          <w:sz w:val="16"/>
                          <w:szCs w:val="16"/>
                        </w:rPr>
                        <w:t>Gegenstand dieses Dokuments sind wesentliche Informationen für den Anleger über diesen Fonds. Es handelt sich nicht um Werbematerial. Diese Informationen sind gesetzlich vorgeschrieben, um Ihnen die Wesensart dieses Fonds und die Risiken einer Anlage in demselben zu erläutern. Wir raten Ihnen zur Lektüre dieses Dokuments, sodass Sie eine fundierte Anlageentscheidung treffen können.</w:t>
                      </w:r>
                    </w:p>
                    <w:p w14:paraId="4A2053A4" w14:textId="77777777" w:rsidR="00CA44FB" w:rsidRPr="00BA499D" w:rsidRDefault="00CA44FB" w:rsidP="005B6E23">
                      <w:pPr>
                        <w:spacing w:line="200" w:lineRule="exact"/>
                        <w:rPr>
                          <w:color w:val="006747"/>
                          <w:sz w:val="16"/>
                          <w:szCs w:val="16"/>
                        </w:rPr>
                      </w:pPr>
                    </w:p>
                  </w:txbxContent>
                </v:textbox>
              </v:shape>
            </w:pict>
          </mc:Fallback>
        </mc:AlternateContent>
      </w:r>
    </w:p>
    <w:p w14:paraId="5535904C" w14:textId="01588BFC" w:rsidR="005B6E23" w:rsidRDefault="008A3787">
      <w:r>
        <w:rPr>
          <w:noProof/>
          <w:lang w:eastAsia="ja-JP"/>
        </w:rPr>
        <mc:AlternateContent>
          <mc:Choice Requires="wps">
            <w:drawing>
              <wp:anchor distT="0" distB="0" distL="114300" distR="114300" simplePos="0" relativeHeight="251662336" behindDoc="0" locked="0" layoutInCell="1" allowOverlap="1" wp14:anchorId="42E03D93" wp14:editId="4E6C3C18">
                <wp:simplePos x="0" y="0"/>
                <wp:positionH relativeFrom="page">
                  <wp:posOffset>238125</wp:posOffset>
                </wp:positionH>
                <wp:positionV relativeFrom="paragraph">
                  <wp:posOffset>171450</wp:posOffset>
                </wp:positionV>
                <wp:extent cx="6965950" cy="119062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19062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CA44FB" w:rsidRPr="00590E50" w:rsidRDefault="00CA44FB"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CA44FB" w14:paraId="55C73248" w14:textId="77777777" w:rsidTr="005D7124">
                              <w:trPr>
                                <w:trHeight w:val="345"/>
                                <w:jc w:val="center"/>
                              </w:trPr>
                              <w:tc>
                                <w:tcPr>
                                  <w:tcW w:w="5383" w:type="dxa"/>
                                </w:tcPr>
                                <w:p w14:paraId="2B664235" w14:textId="1763C107" w:rsidR="00CA44FB" w:rsidRPr="00742006" w:rsidRDefault="00CA44FB" w:rsidP="008A3787">
                                  <w:pPr>
                                    <w:spacing w:after="80" w:line="300" w:lineRule="exact"/>
                                    <w:rPr>
                                      <w:rFonts w:cs="Arial"/>
                                      <w:color w:val="FFFFFF"/>
                                      <w:sz w:val="21"/>
                                      <w:szCs w:val="21"/>
                                    </w:rPr>
                                  </w:pPr>
                                  <w:r>
                                    <w:rPr>
                                      <w:color w:val="FFFFFF"/>
                                      <w:sz w:val="21"/>
                                      <w:szCs w:val="21"/>
                                    </w:rPr>
                                    <w:t>Klasse C2</w:t>
                                  </w:r>
                                  <w:r w:rsidRPr="00742006">
                                    <w:rPr>
                                      <w:color w:val="FFFFFF"/>
                                      <w:sz w:val="21"/>
                                      <w:szCs w:val="21"/>
                                    </w:rPr>
                                    <w:t xml:space="preserve"> thesaurierend GBP (ISIN: </w:t>
                                  </w:r>
                                  <w:r w:rsidRPr="00CA44FB">
                                    <w:rPr>
                                      <w:color w:val="FFFFFF"/>
                                      <w:sz w:val="21"/>
                                      <w:szCs w:val="21"/>
                                    </w:rPr>
                                    <w:t>IE00B2PLJ042</w:t>
                                  </w:r>
                                  <w:r w:rsidRPr="00742006">
                                    <w:rPr>
                                      <w:color w:val="FFFFFF"/>
                                      <w:sz w:val="21"/>
                                      <w:szCs w:val="21"/>
                                    </w:rPr>
                                    <w:t>)</w:t>
                                  </w:r>
                                </w:p>
                              </w:tc>
                              <w:tc>
                                <w:tcPr>
                                  <w:tcW w:w="5452" w:type="dxa"/>
                                </w:tcPr>
                                <w:p w14:paraId="0D06B7D6" w14:textId="31C4C743" w:rsidR="00CA44FB" w:rsidRPr="00742006" w:rsidRDefault="00CA44FB" w:rsidP="00CA44FB">
                                  <w:pPr>
                                    <w:spacing w:after="80" w:line="300" w:lineRule="exact"/>
                                    <w:rPr>
                                      <w:rFonts w:cs="Arial"/>
                                      <w:color w:val="FFFFFF"/>
                                      <w:sz w:val="21"/>
                                      <w:szCs w:val="21"/>
                                    </w:rPr>
                                  </w:pPr>
                                </w:p>
                              </w:tc>
                            </w:tr>
                            <w:tr w:rsidR="00CA44FB" w14:paraId="250F892C" w14:textId="77777777" w:rsidTr="005D7124">
                              <w:trPr>
                                <w:trHeight w:val="345"/>
                                <w:jc w:val="center"/>
                              </w:trPr>
                              <w:tc>
                                <w:tcPr>
                                  <w:tcW w:w="5383" w:type="dxa"/>
                                </w:tcPr>
                                <w:p w14:paraId="7F65084C" w14:textId="651D32D9" w:rsidR="00CA44FB" w:rsidRPr="005D7124" w:rsidRDefault="00CA44FB" w:rsidP="008A3787">
                                  <w:pPr>
                                    <w:spacing w:after="80" w:line="300" w:lineRule="exact"/>
                                    <w:jc w:val="left"/>
                                    <w:rPr>
                                      <w:rFonts w:cs="Arial"/>
                                      <w:color w:val="FFFFFF"/>
                                      <w:sz w:val="24"/>
                                      <w:szCs w:val="25"/>
                                    </w:rPr>
                                  </w:pPr>
                                </w:p>
                              </w:tc>
                              <w:tc>
                                <w:tcPr>
                                  <w:tcW w:w="5452" w:type="dxa"/>
                                </w:tcPr>
                                <w:p w14:paraId="61FC3F26" w14:textId="77777777" w:rsidR="00CA44FB" w:rsidRPr="005D7124" w:rsidRDefault="00CA44FB" w:rsidP="005D031A">
                                  <w:pPr>
                                    <w:spacing w:after="80" w:line="300" w:lineRule="exact"/>
                                    <w:jc w:val="center"/>
                                    <w:rPr>
                                      <w:rFonts w:cs="Arial"/>
                                      <w:color w:val="FFFFFF"/>
                                      <w:sz w:val="24"/>
                                      <w:szCs w:val="25"/>
                                    </w:rPr>
                                  </w:pPr>
                                </w:p>
                              </w:tc>
                            </w:tr>
                            <w:tr w:rsidR="00CA44FB" w14:paraId="4C9AD778" w14:textId="77777777" w:rsidTr="005D7124">
                              <w:trPr>
                                <w:trHeight w:val="345"/>
                                <w:jc w:val="center"/>
                              </w:trPr>
                              <w:tc>
                                <w:tcPr>
                                  <w:tcW w:w="5383" w:type="dxa"/>
                                </w:tcPr>
                                <w:p w14:paraId="6397BEF3" w14:textId="77777777" w:rsidR="00CA44FB" w:rsidRPr="005D7124" w:rsidRDefault="00CA44FB" w:rsidP="00AE6FDF">
                                  <w:pPr>
                                    <w:spacing w:after="80" w:line="300" w:lineRule="exact"/>
                                    <w:jc w:val="center"/>
                                    <w:rPr>
                                      <w:rFonts w:cs="Arial"/>
                                      <w:color w:val="FFFFFF"/>
                                      <w:sz w:val="24"/>
                                      <w:szCs w:val="25"/>
                                    </w:rPr>
                                  </w:pPr>
                                </w:p>
                              </w:tc>
                              <w:tc>
                                <w:tcPr>
                                  <w:tcW w:w="5452" w:type="dxa"/>
                                </w:tcPr>
                                <w:p w14:paraId="4F856C5C" w14:textId="77777777" w:rsidR="00CA44FB" w:rsidRPr="005D7124" w:rsidRDefault="00CA44FB" w:rsidP="005D031A">
                                  <w:pPr>
                                    <w:spacing w:after="80" w:line="300" w:lineRule="exact"/>
                                    <w:jc w:val="center"/>
                                    <w:rPr>
                                      <w:rFonts w:cs="Arial"/>
                                      <w:color w:val="FFFFFF"/>
                                      <w:sz w:val="24"/>
                                      <w:szCs w:val="25"/>
                                    </w:rPr>
                                  </w:pPr>
                                </w:p>
                              </w:tc>
                            </w:tr>
                            <w:tr w:rsidR="00CA44FB" w14:paraId="24D85AE6" w14:textId="77777777" w:rsidTr="005D7124">
                              <w:trPr>
                                <w:trHeight w:val="345"/>
                                <w:jc w:val="center"/>
                              </w:trPr>
                              <w:tc>
                                <w:tcPr>
                                  <w:tcW w:w="5383" w:type="dxa"/>
                                </w:tcPr>
                                <w:p w14:paraId="6B48EC76" w14:textId="77777777" w:rsidR="00CA44FB" w:rsidRPr="005D7124" w:rsidRDefault="00CA44FB" w:rsidP="00AE6FDF">
                                  <w:pPr>
                                    <w:spacing w:after="80" w:line="300" w:lineRule="exact"/>
                                    <w:jc w:val="center"/>
                                    <w:rPr>
                                      <w:rFonts w:cs="Arial"/>
                                      <w:color w:val="FFFFFF"/>
                                      <w:sz w:val="24"/>
                                      <w:szCs w:val="25"/>
                                    </w:rPr>
                                  </w:pPr>
                                </w:p>
                              </w:tc>
                              <w:tc>
                                <w:tcPr>
                                  <w:tcW w:w="5452" w:type="dxa"/>
                                </w:tcPr>
                                <w:p w14:paraId="67A44AD9" w14:textId="77777777" w:rsidR="00CA44FB" w:rsidRPr="005D7124" w:rsidRDefault="00CA44FB" w:rsidP="005D031A">
                                  <w:pPr>
                                    <w:spacing w:after="80" w:line="300" w:lineRule="exact"/>
                                    <w:jc w:val="center"/>
                                    <w:rPr>
                                      <w:rFonts w:cs="Arial"/>
                                      <w:color w:val="FFFFFF"/>
                                      <w:sz w:val="24"/>
                                      <w:szCs w:val="25"/>
                                    </w:rPr>
                                  </w:pPr>
                                </w:p>
                              </w:tc>
                            </w:tr>
                          </w:tbl>
                          <w:p w14:paraId="0F84013F" w14:textId="77777777" w:rsidR="00CA44FB" w:rsidRPr="00CD389F" w:rsidRDefault="00CA44FB"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5pt;width:548.5pt;height:9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" fillcolor="#006747" stroked="f">
                <v:textbox inset="3.5mm,3.3mm,3.5mm,3.3mm">
                  <w:txbxContent>
                    <w:p w14:paraId="6F176501" w14:textId="32A02B45" w:rsidR="00CA44FB" w:rsidRPr="00590E50" w:rsidRDefault="00CA44FB" w:rsidP="005B6E23">
                      <w:pPr>
                        <w:autoSpaceDE w:val="0"/>
                        <w:autoSpaceDN w:val="0"/>
                        <w:adjustRightInd w:val="0"/>
                        <w:spacing w:after="80" w:line="240" w:lineRule="auto"/>
                        <w:jc w:val="left"/>
                        <w:rPr>
                          <w:rFonts w:cs="Arial"/>
                          <w:b/>
                          <w:bCs/>
                          <w:color w:val="FFFFFF"/>
                          <w:sz w:val="30"/>
                          <w:szCs w:val="30"/>
                        </w:rPr>
                      </w:pPr>
                      <w:r w:rsidRPr="00590E50">
                        <w:rPr>
                          <w:b/>
                          <w:color w:val="FFFFFF"/>
                          <w:sz w:val="30"/>
                        </w:rPr>
                        <w:t>Salar Fund (der Fonds), ein Teilfonds der CQS Global CQS Funds (Ireland) plc (die „Gesellschaft“).</w:t>
                      </w:r>
                      <w:r w:rsidRPr="00590E50">
                        <w:rPr>
                          <w:rFonts w:ascii="Gill Sans MT" w:hAnsi="Gill Sans MT"/>
                          <w:b/>
                          <w:color w:val="FFFFFF"/>
                          <w:sz w:val="30"/>
                        </w:rPr>
                        <w:t xml:space="preserve"> Der Verwalter ist KBA Consulting Management Limited (der „Verwalter“).</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CA44FB" w14:paraId="55C73248" w14:textId="77777777" w:rsidTr="005D7124">
                        <w:trPr>
                          <w:trHeight w:val="345"/>
                          <w:jc w:val="center"/>
                        </w:trPr>
                        <w:tc>
                          <w:tcPr>
                            <w:tcW w:w="5383" w:type="dxa"/>
                          </w:tcPr>
                          <w:p w14:paraId="2B664235" w14:textId="1763C107" w:rsidR="00CA44FB" w:rsidRPr="00742006" w:rsidRDefault="00CA44FB" w:rsidP="008A3787">
                            <w:pPr>
                              <w:spacing w:after="80" w:line="300" w:lineRule="exact"/>
                              <w:rPr>
                                <w:rFonts w:cs="Arial"/>
                                <w:color w:val="FFFFFF"/>
                                <w:sz w:val="21"/>
                                <w:szCs w:val="21"/>
                              </w:rPr>
                            </w:pPr>
                            <w:r>
                              <w:rPr>
                                <w:color w:val="FFFFFF"/>
                                <w:sz w:val="21"/>
                                <w:szCs w:val="21"/>
                              </w:rPr>
                              <w:t>Klasse C2</w:t>
                            </w:r>
                            <w:r w:rsidRPr="00742006">
                              <w:rPr>
                                <w:color w:val="FFFFFF"/>
                                <w:sz w:val="21"/>
                                <w:szCs w:val="21"/>
                              </w:rPr>
                              <w:t xml:space="preserve"> thesaurierend GBP (ISIN: </w:t>
                            </w:r>
                            <w:r w:rsidRPr="00CA44FB">
                              <w:rPr>
                                <w:color w:val="FFFFFF"/>
                                <w:sz w:val="21"/>
                                <w:szCs w:val="21"/>
                              </w:rPr>
                              <w:t>IE00B2PLJ042</w:t>
                            </w:r>
                            <w:r w:rsidRPr="00742006">
                              <w:rPr>
                                <w:color w:val="FFFFFF"/>
                                <w:sz w:val="21"/>
                                <w:szCs w:val="21"/>
                              </w:rPr>
                              <w:t>)</w:t>
                            </w:r>
                          </w:p>
                        </w:tc>
                        <w:tc>
                          <w:tcPr>
                            <w:tcW w:w="5452" w:type="dxa"/>
                          </w:tcPr>
                          <w:p w14:paraId="0D06B7D6" w14:textId="31C4C743" w:rsidR="00CA44FB" w:rsidRPr="00742006" w:rsidRDefault="00CA44FB" w:rsidP="00CA44FB">
                            <w:pPr>
                              <w:spacing w:after="80" w:line="300" w:lineRule="exact"/>
                              <w:rPr>
                                <w:rFonts w:cs="Arial"/>
                                <w:color w:val="FFFFFF"/>
                                <w:sz w:val="21"/>
                                <w:szCs w:val="21"/>
                              </w:rPr>
                            </w:pPr>
                          </w:p>
                        </w:tc>
                      </w:tr>
                      <w:tr w:rsidR="00CA44FB" w14:paraId="250F892C" w14:textId="77777777" w:rsidTr="005D7124">
                        <w:trPr>
                          <w:trHeight w:val="345"/>
                          <w:jc w:val="center"/>
                        </w:trPr>
                        <w:tc>
                          <w:tcPr>
                            <w:tcW w:w="5383" w:type="dxa"/>
                          </w:tcPr>
                          <w:p w14:paraId="7F65084C" w14:textId="651D32D9" w:rsidR="00CA44FB" w:rsidRPr="005D7124" w:rsidRDefault="00CA44FB" w:rsidP="008A3787">
                            <w:pPr>
                              <w:spacing w:after="80" w:line="300" w:lineRule="exact"/>
                              <w:jc w:val="left"/>
                              <w:rPr>
                                <w:rFonts w:cs="Arial"/>
                                <w:color w:val="FFFFFF"/>
                                <w:sz w:val="24"/>
                                <w:szCs w:val="25"/>
                              </w:rPr>
                            </w:pPr>
                          </w:p>
                        </w:tc>
                        <w:tc>
                          <w:tcPr>
                            <w:tcW w:w="5452" w:type="dxa"/>
                          </w:tcPr>
                          <w:p w14:paraId="61FC3F26" w14:textId="77777777" w:rsidR="00CA44FB" w:rsidRPr="005D7124" w:rsidRDefault="00CA44FB" w:rsidP="005D031A">
                            <w:pPr>
                              <w:spacing w:after="80" w:line="300" w:lineRule="exact"/>
                              <w:jc w:val="center"/>
                              <w:rPr>
                                <w:rFonts w:cs="Arial"/>
                                <w:color w:val="FFFFFF"/>
                                <w:sz w:val="24"/>
                                <w:szCs w:val="25"/>
                              </w:rPr>
                            </w:pPr>
                          </w:p>
                        </w:tc>
                      </w:tr>
                      <w:tr w:rsidR="00CA44FB" w14:paraId="4C9AD778" w14:textId="77777777" w:rsidTr="005D7124">
                        <w:trPr>
                          <w:trHeight w:val="345"/>
                          <w:jc w:val="center"/>
                        </w:trPr>
                        <w:tc>
                          <w:tcPr>
                            <w:tcW w:w="5383" w:type="dxa"/>
                          </w:tcPr>
                          <w:p w14:paraId="6397BEF3" w14:textId="77777777" w:rsidR="00CA44FB" w:rsidRPr="005D7124" w:rsidRDefault="00CA44FB" w:rsidP="00AE6FDF">
                            <w:pPr>
                              <w:spacing w:after="80" w:line="300" w:lineRule="exact"/>
                              <w:jc w:val="center"/>
                              <w:rPr>
                                <w:rFonts w:cs="Arial"/>
                                <w:color w:val="FFFFFF"/>
                                <w:sz w:val="24"/>
                                <w:szCs w:val="25"/>
                              </w:rPr>
                            </w:pPr>
                          </w:p>
                        </w:tc>
                        <w:tc>
                          <w:tcPr>
                            <w:tcW w:w="5452" w:type="dxa"/>
                          </w:tcPr>
                          <w:p w14:paraId="4F856C5C" w14:textId="77777777" w:rsidR="00CA44FB" w:rsidRPr="005D7124" w:rsidRDefault="00CA44FB" w:rsidP="005D031A">
                            <w:pPr>
                              <w:spacing w:after="80" w:line="300" w:lineRule="exact"/>
                              <w:jc w:val="center"/>
                              <w:rPr>
                                <w:rFonts w:cs="Arial"/>
                                <w:color w:val="FFFFFF"/>
                                <w:sz w:val="24"/>
                                <w:szCs w:val="25"/>
                              </w:rPr>
                            </w:pPr>
                          </w:p>
                        </w:tc>
                      </w:tr>
                      <w:tr w:rsidR="00CA44FB" w14:paraId="24D85AE6" w14:textId="77777777" w:rsidTr="005D7124">
                        <w:trPr>
                          <w:trHeight w:val="345"/>
                          <w:jc w:val="center"/>
                        </w:trPr>
                        <w:tc>
                          <w:tcPr>
                            <w:tcW w:w="5383" w:type="dxa"/>
                          </w:tcPr>
                          <w:p w14:paraId="6B48EC76" w14:textId="77777777" w:rsidR="00CA44FB" w:rsidRPr="005D7124" w:rsidRDefault="00CA44FB" w:rsidP="00AE6FDF">
                            <w:pPr>
                              <w:spacing w:after="80" w:line="300" w:lineRule="exact"/>
                              <w:jc w:val="center"/>
                              <w:rPr>
                                <w:rFonts w:cs="Arial"/>
                                <w:color w:val="FFFFFF"/>
                                <w:sz w:val="24"/>
                                <w:szCs w:val="25"/>
                              </w:rPr>
                            </w:pPr>
                          </w:p>
                        </w:tc>
                        <w:tc>
                          <w:tcPr>
                            <w:tcW w:w="5452" w:type="dxa"/>
                          </w:tcPr>
                          <w:p w14:paraId="67A44AD9" w14:textId="77777777" w:rsidR="00CA44FB" w:rsidRPr="005D7124" w:rsidRDefault="00CA44FB" w:rsidP="005D031A">
                            <w:pPr>
                              <w:spacing w:after="80" w:line="300" w:lineRule="exact"/>
                              <w:jc w:val="center"/>
                              <w:rPr>
                                <w:rFonts w:cs="Arial"/>
                                <w:color w:val="FFFFFF"/>
                                <w:sz w:val="24"/>
                                <w:szCs w:val="25"/>
                              </w:rPr>
                            </w:pPr>
                          </w:p>
                        </w:tc>
                      </w:tr>
                    </w:tbl>
                    <w:p w14:paraId="0F84013F" w14:textId="77777777" w:rsidR="00CA44FB" w:rsidRPr="00CD389F" w:rsidRDefault="00CA44FB"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p>
    <w:p w14:paraId="02ED85A9" w14:textId="6B63E43A" w:rsidR="005B6E23" w:rsidRDefault="00CA44FB">
      <w:pPr>
        <w:widowControl/>
        <w:spacing w:after="160" w:line="259" w:lineRule="auto"/>
        <w:jc w:val="left"/>
      </w:pPr>
      <w:r>
        <w:rPr>
          <w:noProof/>
          <w:lang w:eastAsia="ja-JP"/>
        </w:rPr>
        <mc:AlternateContent>
          <mc:Choice Requires="wps">
            <w:drawing>
              <wp:anchor distT="0" distB="0" distL="114300" distR="114300" simplePos="0" relativeHeight="251664384" behindDoc="0" locked="0" layoutInCell="1" allowOverlap="1" wp14:anchorId="2B2EE4E4" wp14:editId="6F3EF8D3">
                <wp:simplePos x="0" y="0"/>
                <wp:positionH relativeFrom="column">
                  <wp:posOffset>-666750</wp:posOffset>
                </wp:positionH>
                <wp:positionV relativeFrom="paragraph">
                  <wp:posOffset>1543050</wp:posOffset>
                </wp:positionV>
                <wp:extent cx="3437255" cy="2362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36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CA44FB" w:rsidRPr="00590E50" w:rsidRDefault="00CA44FB"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CA44FB" w:rsidRPr="00BA499D" w:rsidRDefault="00CA44FB"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CA44FB" w:rsidRPr="00BA499D" w:rsidRDefault="00CA44FB"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CA44FB" w:rsidRPr="00BA499D" w:rsidRDefault="00CA44FB"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CA44FB" w:rsidRPr="00BA499D" w:rsidRDefault="00CA44FB" w:rsidP="005B6E23">
                            <w:pPr>
                              <w:pStyle w:val="KIIDtext1"/>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21.5pt;width:270.6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N5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" stroked="f">
                <v:textbox>
                  <w:txbxContent>
                    <w:p w14:paraId="518CCCC5" w14:textId="77777777" w:rsidR="00CA44FB" w:rsidRPr="00590E50" w:rsidRDefault="00CA44FB" w:rsidP="00BA499D">
                      <w:pPr>
                        <w:pStyle w:val="KIIDtext1"/>
                        <w:spacing w:after="80" w:line="240" w:lineRule="auto"/>
                        <w:rPr>
                          <w:sz w:val="16"/>
                          <w:szCs w:val="16"/>
                        </w:rPr>
                      </w:pPr>
                      <w:r w:rsidRPr="00BA499D">
                        <w:rPr>
                          <w:sz w:val="16"/>
                          <w:szCs w:val="16"/>
                        </w:rPr>
                        <w:t>Das Ziel des Fonds ist die Erwirtschaftung positiver Renditen sowie Kapitalerhalt. Hierzu erwirbt der Fonds in erster Linie Schuldtitel, die einen Ertrag bieten, ggf. aber auch in Aktien umgewandelt werden können (</w:t>
                      </w:r>
                      <w:r w:rsidRPr="00590E50">
                        <w:rPr>
                          <w:sz w:val="16"/>
                          <w:szCs w:val="16"/>
                        </w:rPr>
                        <w:t>Wandelanleihen). Der Fonds verfolgt einen aktiven, Benchmark unabhängigen Ansatz und orientiert sich nicht an einer Benchmark.</w:t>
                      </w:r>
                    </w:p>
                    <w:p w14:paraId="21988EBD" w14:textId="04436D76" w:rsidR="00CA44FB" w:rsidRPr="00BA499D" w:rsidRDefault="00CA44FB" w:rsidP="00BA499D">
                      <w:pPr>
                        <w:pStyle w:val="KIIDtext1"/>
                        <w:spacing w:after="80" w:line="240" w:lineRule="auto"/>
                        <w:rPr>
                          <w:sz w:val="16"/>
                          <w:szCs w:val="16"/>
                        </w:rPr>
                      </w:pPr>
                      <w:r w:rsidRPr="00590E50">
                        <w:rPr>
                          <w:sz w:val="16"/>
                          <w:szCs w:val="16"/>
                        </w:rPr>
                        <w:t>Der Fonds zielt darauf ab, eine Rendite zu erzielen, die über dem SONIA liegt.</w:t>
                      </w:r>
                    </w:p>
                    <w:p w14:paraId="74A8B516" w14:textId="77777777" w:rsidR="00CA44FB" w:rsidRPr="00BA499D" w:rsidRDefault="00CA44FB" w:rsidP="00BA499D">
                      <w:pPr>
                        <w:pStyle w:val="KIIDtext1"/>
                        <w:spacing w:after="80" w:line="240" w:lineRule="auto"/>
                        <w:rPr>
                          <w:sz w:val="16"/>
                          <w:szCs w:val="16"/>
                        </w:rPr>
                      </w:pPr>
                      <w:r w:rsidRPr="00BA499D">
                        <w:rPr>
                          <w:sz w:val="16"/>
                          <w:szCs w:val="16"/>
                        </w:rPr>
                        <w:t xml:space="preserve">Der Fonds ist global ausgerichtet. Der Fonds investiert in Anleihen, die von Unternehmen oder staatlichen Stellen in Industrie- und Schwellenländern begeben werden und die als Investment-Grade oder ohne Investment-Grade eingestuft sind. </w:t>
                      </w:r>
                    </w:p>
                    <w:p w14:paraId="10F3AC94" w14:textId="27670940" w:rsidR="00CA44FB" w:rsidRPr="00BA499D" w:rsidRDefault="00CA44FB" w:rsidP="00BA499D">
                      <w:pPr>
                        <w:pStyle w:val="KIIDtext1"/>
                        <w:spacing w:after="80" w:line="240" w:lineRule="auto"/>
                        <w:rPr>
                          <w:sz w:val="16"/>
                          <w:szCs w:val="16"/>
                        </w:rPr>
                      </w:pPr>
                      <w:r w:rsidRPr="00BA499D">
                        <w:rPr>
                          <w:sz w:val="16"/>
                          <w:szCs w:val="16"/>
                        </w:rPr>
                        <w:t xml:space="preserve">Der Fonds investiert hauptsächlich in Wandelanleihen, die nahe ihres Rentenwertes gehandelt werden. Diese Wandelanleihen sind Aktienkursbewegungen gegenüber weniger anfällig, in Bezug auf ihr Risikoprofil Anleihen ähnlicher und bieten einen Schutz bei fallenden Aktienkursen. Bei steigenden Aktienkursen können sie aber auch von diesem Kursanstieg profitieren, da sie zunehmend aktienähnlich werden. </w:t>
                      </w:r>
                    </w:p>
                    <w:p w14:paraId="6F306050" w14:textId="77777777" w:rsidR="00CA44FB" w:rsidRPr="00BA499D" w:rsidRDefault="00CA44FB" w:rsidP="005B6E23">
                      <w:pPr>
                        <w:pStyle w:val="KIIDtext1"/>
                        <w:rPr>
                          <w:sz w:val="16"/>
                          <w:szCs w:val="16"/>
                        </w:rPr>
                      </w:pPr>
                    </w:p>
                  </w:txbxContent>
                </v:textbox>
              </v:shape>
            </w:pict>
          </mc:Fallback>
        </mc:AlternateContent>
      </w:r>
      <w:r>
        <w:rPr>
          <w:noProof/>
          <w:lang w:eastAsia="ja-JP"/>
        </w:rPr>
        <mc:AlternateContent>
          <mc:Choice Requires="wps">
            <w:drawing>
              <wp:anchor distT="0" distB="0" distL="114300" distR="114300" simplePos="0" relativeHeight="251663360" behindDoc="0" locked="0" layoutInCell="1" allowOverlap="1" wp14:anchorId="16C457A2" wp14:editId="77AA30B5">
                <wp:simplePos x="0" y="0"/>
                <wp:positionH relativeFrom="column">
                  <wp:posOffset>-672465</wp:posOffset>
                </wp:positionH>
                <wp:positionV relativeFrom="paragraph">
                  <wp:posOffset>1303020</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CA44FB" w:rsidRPr="00831DE1" w:rsidRDefault="00CA44FB" w:rsidP="005B6E23">
                            <w:pPr>
                              <w:pStyle w:val="BoldSubHead"/>
                              <w:spacing w:before="0"/>
                              <w:rPr>
                                <w:color w:val="5F5F5F"/>
                                <w:sz w:val="18"/>
                                <w:szCs w:val="18"/>
                              </w:rPr>
                            </w:pPr>
                            <w:r>
                              <w:t>Ziele und Anlagepolitik</w:t>
                            </w:r>
                          </w:p>
                          <w:p w14:paraId="2B5CEB0D" w14:textId="77777777" w:rsidR="00CA44FB" w:rsidRPr="00831DE1" w:rsidRDefault="00CA44FB"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2.95pt;margin-top:102.6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d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" stroked="f">
                <v:textbox>
                  <w:txbxContent>
                    <w:p w14:paraId="2D0B738E" w14:textId="77777777" w:rsidR="00CA44FB" w:rsidRPr="00831DE1" w:rsidRDefault="00CA44FB" w:rsidP="005B6E23">
                      <w:pPr>
                        <w:pStyle w:val="BoldSubHead"/>
                        <w:spacing w:before="0"/>
                        <w:rPr>
                          <w:color w:val="5F5F5F"/>
                          <w:sz w:val="18"/>
                          <w:szCs w:val="18"/>
                        </w:rPr>
                      </w:pPr>
                      <w:r>
                        <w:t>Ziele und Anlagepolitik</w:t>
                      </w:r>
                    </w:p>
                    <w:p w14:paraId="2B5CEB0D" w14:textId="77777777" w:rsidR="00CA44FB" w:rsidRPr="00831DE1" w:rsidRDefault="00CA44FB"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84674C" w:rsidRPr="00F14586">
        <w:rPr>
          <w:noProof/>
          <w:lang w:eastAsia="ja-JP"/>
        </w:rPr>
        <mc:AlternateContent>
          <mc:Choice Requires="wps">
            <w:drawing>
              <wp:anchor distT="0" distB="0" distL="114300" distR="114300" simplePos="0" relativeHeight="251710464" behindDoc="0" locked="0" layoutInCell="1" allowOverlap="1" wp14:anchorId="1CE9D5D2" wp14:editId="1C15AB63">
                <wp:simplePos x="0" y="0"/>
                <wp:positionH relativeFrom="column">
                  <wp:posOffset>-542925</wp:posOffset>
                </wp:positionH>
                <wp:positionV relativeFrom="paragraph">
                  <wp:posOffset>4419600</wp:posOffset>
                </wp:positionV>
                <wp:extent cx="3299460" cy="819150"/>
                <wp:effectExtent l="0" t="0" r="15240" b="1905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8191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0F049C08" w14:textId="77777777" w:rsidR="00CA44FB" w:rsidRPr="00744685" w:rsidRDefault="00CA44FB" w:rsidP="0084674C">
                            <w:pPr>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D5D2" id="Rectangle 131" o:spid="_x0000_s1030" style="position:absolute;margin-left:-42.75pt;margin-top:348pt;width:259.8pt;height: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" filled="f" strokecolor="#006747">
                <v:textbox inset="0,0,0,0">
                  <w:txbxContent>
                    <w:p w14:paraId="0F049C08" w14:textId="77777777" w:rsidR="00CA44FB" w:rsidRPr="00744685" w:rsidRDefault="00CA44FB" w:rsidP="0084674C">
                      <w:pPr>
                        <w:rPr>
                          <w:rFonts w:ascii="Gill Sans MT" w:hAnsi="Gill Sans MT"/>
                        </w:rPr>
                      </w:pPr>
                    </w:p>
                  </w:txbxContent>
                </v:textbox>
              </v:rect>
            </w:pict>
          </mc:Fallback>
        </mc:AlternateContent>
      </w:r>
      <w:r w:rsidR="0050106F">
        <w:rPr>
          <w:noProof/>
          <w:lang w:eastAsia="ja-JP"/>
        </w:rPr>
        <mc:AlternateContent>
          <mc:Choice Requires="wps">
            <w:drawing>
              <wp:anchor distT="0" distB="0" distL="114300" distR="114300" simplePos="0" relativeHeight="251665408" behindDoc="0" locked="0" layoutInCell="1" allowOverlap="1" wp14:anchorId="09804B6A" wp14:editId="72377A8E">
                <wp:simplePos x="0" y="0"/>
                <wp:positionH relativeFrom="column">
                  <wp:posOffset>2686050</wp:posOffset>
                </wp:positionH>
                <wp:positionV relativeFrom="paragraph">
                  <wp:posOffset>1381125</wp:posOffset>
                </wp:positionV>
                <wp:extent cx="3650615" cy="262890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CA44FB" w:rsidRPr="00BA499D" w:rsidRDefault="00CA44FB"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CA44FB" w:rsidRPr="00BA499D" w:rsidRDefault="00CA44FB"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CA44FB" w:rsidRPr="00BA499D" w:rsidRDefault="00CA44FB"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CA44FB" w:rsidRPr="00BA499D" w:rsidRDefault="00CA44FB"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CA44FB" w:rsidRPr="00BA499D" w:rsidRDefault="00CA44FB"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CA44FB" w:rsidRPr="00283C51" w:rsidRDefault="00CA44FB" w:rsidP="0050106F">
                            <w:pPr>
                              <w:pStyle w:val="KIIDtext1"/>
                              <w:spacing w:after="80" w:line="274" w:lineRule="auto"/>
                              <w:rPr>
                                <w:rFonts w:cs="Arial"/>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1" type="#_x0000_t202" style="position:absolute;margin-left:211.5pt;margin-top:108.75pt;width:287.4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1biAIAABg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" stroked="f">
                <v:textbox>
                  <w:txbxContent>
                    <w:p w14:paraId="75B1DBBE" w14:textId="5C154B41" w:rsidR="00CA44FB" w:rsidRPr="00BA499D" w:rsidRDefault="00CA44FB" w:rsidP="0050106F">
                      <w:pPr>
                        <w:pStyle w:val="KIIDtext1"/>
                        <w:spacing w:after="80" w:line="274" w:lineRule="auto"/>
                        <w:rPr>
                          <w:rFonts w:cs="Arial"/>
                          <w:sz w:val="16"/>
                          <w:szCs w:val="16"/>
                        </w:rPr>
                      </w:pPr>
                      <w:r w:rsidRPr="00BA499D">
                        <w:rPr>
                          <w:sz w:val="16"/>
                          <w:szCs w:val="16"/>
                        </w:rPr>
                        <w:t xml:space="preserve">Die vom Fonds erzielten Erträge abzüglich der Aufwendungen werden nicht an die Anleger ausgeschüttet, sondern fließen in den Nettoinventarwert je Anteil des Fonds ein. </w:t>
                      </w:r>
                    </w:p>
                    <w:p w14:paraId="7B0ED08D" w14:textId="34D8A154" w:rsidR="00CA44FB" w:rsidRPr="00BA499D" w:rsidRDefault="00CA44FB" w:rsidP="0050106F">
                      <w:pPr>
                        <w:pStyle w:val="KIIDtext1"/>
                        <w:spacing w:after="80" w:line="274" w:lineRule="auto"/>
                        <w:rPr>
                          <w:rFonts w:cs="Arial"/>
                          <w:sz w:val="16"/>
                          <w:szCs w:val="16"/>
                        </w:rPr>
                      </w:pPr>
                      <w:r w:rsidRPr="00BA499D">
                        <w:rPr>
                          <w:sz w:val="16"/>
                          <w:szCs w:val="16"/>
                        </w:rPr>
                        <w:t>Der Wert des Fonds wird täglich berechnet und veröffentlicht. Anleger können an jedem Tag, an dem die Banken in Dublin und London für den Geschäftsverkehr geöffnet sind, Anteile kaufen oder verkaufen.</w:t>
                      </w:r>
                    </w:p>
                    <w:p w14:paraId="6FDEAC5F" w14:textId="49682277" w:rsidR="00CA44FB" w:rsidRPr="00BA499D" w:rsidRDefault="00CA44FB" w:rsidP="0050106F">
                      <w:pPr>
                        <w:pStyle w:val="KIIDtext1"/>
                        <w:spacing w:after="80" w:line="274" w:lineRule="auto"/>
                        <w:rPr>
                          <w:rFonts w:cs="Arial"/>
                          <w:bCs/>
                          <w:sz w:val="16"/>
                          <w:szCs w:val="16"/>
                        </w:rPr>
                      </w:pPr>
                      <w:r w:rsidRPr="00BA499D">
                        <w:rPr>
                          <w:sz w:val="16"/>
                          <w:szCs w:val="16"/>
                        </w:rPr>
                        <w:t>Der Fonds kann zur Risikoreduzierung sowie für die Zwecke einer effektiveren Verwaltung des Fonds Aktien einsetzen, ist hierzu aber nicht verpflichtet.</w:t>
                      </w:r>
                    </w:p>
                    <w:p w14:paraId="4C879E0A" w14:textId="49DC1E7A" w:rsidR="00CA44FB" w:rsidRPr="00BA499D" w:rsidRDefault="00CA44FB" w:rsidP="0050106F">
                      <w:pPr>
                        <w:pStyle w:val="KIIDtext1"/>
                        <w:spacing w:after="80" w:line="274" w:lineRule="auto"/>
                        <w:rPr>
                          <w:rFonts w:cs="Arial"/>
                          <w:bCs/>
                          <w:sz w:val="16"/>
                          <w:szCs w:val="16"/>
                        </w:rPr>
                      </w:pPr>
                      <w:r w:rsidRPr="00590E50">
                        <w:rPr>
                          <w:sz w:val="16"/>
                          <w:szCs w:val="16"/>
                        </w:rPr>
                        <w:t>Finanzierte derivative Instrumente</w:t>
                      </w:r>
                      <w:r w:rsidRPr="00BA499D">
                        <w:rPr>
                          <w:sz w:val="16"/>
                          <w:szCs w:val="16"/>
                        </w:rPr>
                        <w:t xml:space="preserve"> (FDI) können zur Erreichung des Anlageziels, zur Risikoreduzierung oder zur effektiveren Verwaltung des Fonds eingesetzt werden. Dazu gehört insbesondere der Einsatz von FDI zwecks Aufbaus einer Short-Position in Aktien, um das Aktienrisiko bei Long-Positionen in Wandelanleihen zu reduzieren. </w:t>
                      </w:r>
                    </w:p>
                    <w:p w14:paraId="09C6C445" w14:textId="4D67054E" w:rsidR="00CA44FB" w:rsidRPr="00BA499D" w:rsidRDefault="00CA44FB" w:rsidP="0050106F">
                      <w:pPr>
                        <w:pStyle w:val="KIIDtext1"/>
                        <w:spacing w:after="80" w:line="274" w:lineRule="auto"/>
                        <w:rPr>
                          <w:rFonts w:cs="Arial"/>
                          <w:b/>
                          <w:bCs/>
                          <w:sz w:val="16"/>
                          <w:szCs w:val="16"/>
                        </w:rPr>
                      </w:pPr>
                      <w:r w:rsidRPr="00BA499D">
                        <w:rPr>
                          <w:sz w:val="16"/>
                          <w:szCs w:val="16"/>
                        </w:rPr>
                        <w:t>Die vollständigen Angaben zum Anlageziel und zur Anlagepolitik sowie die Richtlinien für Zeichnungen und Rücknahmen können dem Prospekt entnommen werden.</w:t>
                      </w:r>
                    </w:p>
                    <w:p w14:paraId="356E3144" w14:textId="69A05DF9" w:rsidR="00CA44FB" w:rsidRPr="00283C51" w:rsidRDefault="00CA44FB" w:rsidP="0050106F">
                      <w:pPr>
                        <w:pStyle w:val="KIIDtext1"/>
                        <w:spacing w:after="80" w:line="274" w:lineRule="auto"/>
                        <w:rPr>
                          <w:rFonts w:cs="Arial"/>
                          <w:sz w:val="17"/>
                        </w:rPr>
                      </w:pPr>
                    </w:p>
                  </w:txbxContent>
                </v:textbox>
              </v:shape>
            </w:pict>
          </mc:Fallback>
        </mc:AlternateContent>
      </w:r>
      <w:r w:rsidR="00640079">
        <w:rPr>
          <w:noProof/>
          <w:lang w:eastAsia="ja-JP"/>
        </w:rPr>
        <mc:AlternateContent>
          <mc:Choice Requires="wps">
            <w:drawing>
              <wp:anchor distT="0" distB="0" distL="114300" distR="114300" simplePos="0" relativeHeight="251668480" behindDoc="0" locked="0" layoutInCell="1" allowOverlap="1" wp14:anchorId="775DDF5F" wp14:editId="7720F3AB">
                <wp:simplePos x="0" y="0"/>
                <wp:positionH relativeFrom="column">
                  <wp:posOffset>2736376</wp:posOffset>
                </wp:positionH>
                <wp:positionV relativeFrom="paragraph">
                  <wp:posOffset>4229383</wp:posOffset>
                </wp:positionV>
                <wp:extent cx="3570605" cy="4742597"/>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4742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CA44FB" w:rsidRPr="00BA499D" w:rsidRDefault="00CA44FB"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CA44FB" w:rsidRPr="00BA499D" w:rsidRDefault="00CA44FB"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3849C19C" w:rsidR="00CA44FB" w:rsidRPr="00EC7D6F" w:rsidRDefault="00CA44FB"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1" w:history="1">
                              <w:r w:rsidRPr="00A12A2B">
                                <w:rPr>
                                  <w:rStyle w:val="Hyperlink"/>
                                  <w:sz w:val="16"/>
                                  <w:szCs w:val="16"/>
                                </w:rPr>
                                <w:t>dem Fondsprospekt</w:t>
                              </w:r>
                            </w:hyperlink>
                            <w:r>
                              <w:rPr>
                                <w:sz w:val="16"/>
                                <w:szCs w:val="16"/>
                              </w:rPr>
                              <w:t xml:space="preserve"> </w:t>
                            </w:r>
                            <w:r w:rsidRPr="00BA499D">
                              <w:rPr>
                                <w:sz w:val="16"/>
                                <w:szCs w:val="16"/>
                              </w:rPr>
                              <w:t xml:space="preserve">und der </w:t>
                            </w:r>
                            <w:r>
                              <w:rPr>
                                <w:sz w:val="16"/>
                                <w:szCs w:val="16"/>
                              </w:rPr>
                              <w:t xml:space="preserve">fondsspezifischen </w:t>
                            </w:r>
                            <w:r w:rsidRPr="00BA499D">
                              <w:rPr>
                                <w:sz w:val="16"/>
                                <w:szCs w:val="16"/>
                              </w:rPr>
                              <w:t>Ergänzung entnommen werden.</w:t>
                            </w:r>
                            <w:r>
                              <w:rPr>
                                <w:sz w:val="17"/>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5.45pt;margin-top:333pt;width:281.15pt;height:3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" stroked="f">
                <v:textbox>
                  <w:txbxContent>
                    <w:p w14:paraId="6E618A50" w14:textId="45A8D659" w:rsidR="00CA44FB" w:rsidRPr="00BA499D" w:rsidRDefault="00CA44FB" w:rsidP="00BA499D">
                      <w:pPr>
                        <w:pStyle w:val="KIIDtext1"/>
                        <w:numPr>
                          <w:ilvl w:val="0"/>
                          <w:numId w:val="5"/>
                        </w:numPr>
                        <w:spacing w:line="240" w:lineRule="auto"/>
                        <w:rPr>
                          <w:rFonts w:cs="Arial"/>
                          <w:sz w:val="16"/>
                          <w:szCs w:val="16"/>
                        </w:rPr>
                      </w:pPr>
                      <w:r w:rsidRPr="00BA499D">
                        <w:rPr>
                          <w:b/>
                          <w:sz w:val="16"/>
                          <w:szCs w:val="16"/>
                        </w:rPr>
                        <w:t>Währungsrisiko der Klasse</w:t>
                      </w:r>
                      <w:r w:rsidRPr="00BA499D">
                        <w:rPr>
                          <w:sz w:val="16"/>
                          <w:szCs w:val="16"/>
                        </w:rPr>
                        <w:t>: Die Währungsabsicherung mildert möglicherweise nicht die Auswirkungen von Währungsschwankungen auf nicht auf US-Dollar lautende Klassen ab.</w:t>
                      </w:r>
                    </w:p>
                    <w:p w14:paraId="257A0D0D" w14:textId="7933FDD4"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Schwellenmarktrisiko:</w:t>
                      </w:r>
                      <w:r w:rsidRPr="00BA499D">
                        <w:rPr>
                          <w:sz w:val="16"/>
                          <w:szCs w:val="16"/>
                        </w:rPr>
                        <w:t xml:space="preserve"> Schwellenmärkte sind aufgrund der niedrigeren Liquidität sowie aufgrund der möglicherweise fehlenden angemessenen finanziellen, rechtlichen, sozialen, politischen und wirtschaftlichen Strukturen, Sicherheit und Stabilität sowie aufgrund von ungewissen Steuerpositionen wahrscheinlich mit einem höheren Risiko behaftet.</w:t>
                      </w:r>
                    </w:p>
                    <w:p w14:paraId="56536B43" w14:textId="5A9DA4A0" w:rsidR="00CA44FB" w:rsidRPr="00BA499D" w:rsidRDefault="00CA44FB" w:rsidP="00BA499D">
                      <w:pPr>
                        <w:pStyle w:val="KIIDtext1"/>
                        <w:numPr>
                          <w:ilvl w:val="0"/>
                          <w:numId w:val="5"/>
                        </w:numPr>
                        <w:spacing w:line="240" w:lineRule="auto"/>
                        <w:rPr>
                          <w:rFonts w:cs="Arial"/>
                          <w:bCs/>
                          <w:sz w:val="16"/>
                          <w:szCs w:val="16"/>
                        </w:rPr>
                      </w:pPr>
                      <w:r w:rsidRPr="00BA499D">
                        <w:rPr>
                          <w:b/>
                          <w:sz w:val="16"/>
                          <w:szCs w:val="16"/>
                        </w:rPr>
                        <w:t>Operationelles Risiko</w:t>
                      </w:r>
                      <w:r w:rsidRPr="00BA499D">
                        <w:rPr>
                          <w:sz w:val="16"/>
                          <w:szCs w:val="16"/>
                        </w:rPr>
                        <w:t xml:space="preserve">: Dem Fonds könnten infolge von menschlichen Fehlern, System- und/oder Prozessausfällen, unzureichenden Verfahren oder Kontrollen wesentliche Verluste entstehen. </w:t>
                      </w:r>
                    </w:p>
                    <w:p w14:paraId="5946C460" w14:textId="6CC17CA4"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Wechselkursrisiko:</w:t>
                      </w:r>
                      <w:r w:rsidRPr="00BA499D">
                        <w:rPr>
                          <w:sz w:val="16"/>
                          <w:szCs w:val="16"/>
                        </w:rPr>
                        <w:t xml:space="preserve"> Wechselkursschwankungen können sich positiv oder negativ auf die Wertentwicklung des nicht auf US-Dollar lautenden Fondsanlagevermögens auswirken. Eine Währungsabsicherung kann diese Effekte möglicherweise nicht erfolgreich abmildern.</w:t>
                      </w:r>
                    </w:p>
                    <w:p w14:paraId="0AE88B51" w14:textId="55D79CB5"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Hochzinsrisiko:</w:t>
                      </w:r>
                      <w:r w:rsidRPr="00BA499D">
                        <w:rPr>
                          <w:sz w:val="16"/>
                          <w:szCs w:val="16"/>
                        </w:rPr>
                        <w:t xml:space="preserve"> Hochzinsanlagen, d. h. Instrumente, die hohe Erträge bieten, sind in der Regel mit einem höheren Kreditrisiko verbunden und reagieren sensibler auf wirtschaftliche Entwicklungen, was größere Kursbewegungen hervorruft als bei Instrumenten mit niedrigen Renditen. </w:t>
                      </w:r>
                    </w:p>
                    <w:p w14:paraId="1635603F" w14:textId="620E7321"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Liquiditätsrisiko:</w:t>
                      </w:r>
                      <w:r w:rsidRPr="00BA499D">
                        <w:rPr>
                          <w:sz w:val="16"/>
                          <w:szCs w:val="16"/>
                        </w:rPr>
                        <w:t xml:space="preserve"> Wandelanleihen werden überwiegend an Freiverkehrsmärkten gehandelt und können einer geringeren Liquidität unterliegen als die zugrunde liegenden Aktienwerte.</w:t>
                      </w:r>
                    </w:p>
                    <w:p w14:paraId="18B9FEBF" w14:textId="5F6395F9" w:rsidR="00CA44FB" w:rsidRPr="00BA499D" w:rsidRDefault="00CA44FB" w:rsidP="00BA499D">
                      <w:pPr>
                        <w:pStyle w:val="KIIDtext1"/>
                        <w:numPr>
                          <w:ilvl w:val="0"/>
                          <w:numId w:val="5"/>
                        </w:numPr>
                        <w:spacing w:line="240" w:lineRule="auto"/>
                        <w:rPr>
                          <w:rFonts w:cs="Arial"/>
                          <w:bCs/>
                          <w:sz w:val="16"/>
                          <w:szCs w:val="16"/>
                        </w:rPr>
                      </w:pPr>
                      <w:r w:rsidRPr="00BA499D">
                        <w:rPr>
                          <w:b/>
                          <w:bCs/>
                          <w:sz w:val="16"/>
                          <w:szCs w:val="16"/>
                        </w:rPr>
                        <w:t>Derivate- und Leverage-Risiko:</w:t>
                      </w:r>
                      <w:r w:rsidRPr="00BA499D">
                        <w:rPr>
                          <w:sz w:val="16"/>
                          <w:szCs w:val="16"/>
                        </w:rPr>
                        <w:t xml:space="preserve"> Bestimmte Derivate können eine Hebelwirkung in den Fonds einbringen, was Verluste zur Folge haben kann, die größer sein können als der ursprünglich in dieses Derivat investierte Betrag. </w:t>
                      </w:r>
                    </w:p>
                    <w:p w14:paraId="452F9445" w14:textId="3849C19C" w:rsidR="00CA44FB" w:rsidRPr="00EC7D6F" w:rsidRDefault="00CA44FB" w:rsidP="0050106F">
                      <w:pPr>
                        <w:pStyle w:val="KIIDtext1"/>
                        <w:spacing w:line="240" w:lineRule="auto"/>
                        <w:rPr>
                          <w:rFonts w:cs="Arial"/>
                          <w:sz w:val="17"/>
                        </w:rPr>
                      </w:pPr>
                      <w:r w:rsidRPr="00BA499D">
                        <w:rPr>
                          <w:sz w:val="16"/>
                          <w:szCs w:val="16"/>
                        </w:rPr>
                        <w:t xml:space="preserve">Eine detaillierte Beschreibung der für den Fonds geltenden Risikofaktoren kann </w:t>
                      </w:r>
                      <w:hyperlink r:id="rId12" w:history="1">
                        <w:r w:rsidRPr="00A12A2B">
                          <w:rPr>
                            <w:rStyle w:val="Hyperlink"/>
                            <w:sz w:val="16"/>
                            <w:szCs w:val="16"/>
                          </w:rPr>
                          <w:t>dem Fondsprospekt</w:t>
                        </w:r>
                      </w:hyperlink>
                      <w:r>
                        <w:rPr>
                          <w:sz w:val="16"/>
                          <w:szCs w:val="16"/>
                        </w:rPr>
                        <w:t xml:space="preserve"> </w:t>
                      </w:r>
                      <w:r w:rsidRPr="00BA499D">
                        <w:rPr>
                          <w:sz w:val="16"/>
                          <w:szCs w:val="16"/>
                        </w:rPr>
                        <w:t xml:space="preserve">und der </w:t>
                      </w:r>
                      <w:r>
                        <w:rPr>
                          <w:sz w:val="16"/>
                          <w:szCs w:val="16"/>
                        </w:rPr>
                        <w:t xml:space="preserve">fondsspezifischen </w:t>
                      </w:r>
                      <w:r w:rsidRPr="00BA499D">
                        <w:rPr>
                          <w:sz w:val="16"/>
                          <w:szCs w:val="16"/>
                        </w:rPr>
                        <w:t>Ergänzung entnommen werden.</w:t>
                      </w:r>
                      <w:r>
                        <w:rPr>
                          <w:sz w:val="17"/>
                        </w:rPr>
                        <w:t xml:space="preserve"> </w:t>
                      </w:r>
                    </w:p>
                  </w:txbxContent>
                </v:textbox>
              </v:shape>
            </w:pict>
          </mc:Fallback>
        </mc:AlternateContent>
      </w:r>
      <w:r w:rsidR="00640079">
        <w:rPr>
          <w:noProof/>
          <w:lang w:eastAsia="ja-JP"/>
        </w:rPr>
        <mc:AlternateContent>
          <mc:Choice Requires="wps">
            <w:drawing>
              <wp:anchor distT="0" distB="0" distL="114300" distR="114300" simplePos="0" relativeHeight="251656189" behindDoc="0" locked="0" layoutInCell="1" allowOverlap="1" wp14:anchorId="54F53EE3" wp14:editId="69C61653">
                <wp:simplePos x="0" y="0"/>
                <wp:positionH relativeFrom="column">
                  <wp:posOffset>-628650</wp:posOffset>
                </wp:positionH>
                <wp:positionV relativeFrom="paragraph">
                  <wp:posOffset>4330700</wp:posOffset>
                </wp:positionV>
                <wp:extent cx="3441700" cy="4660900"/>
                <wp:effectExtent l="0" t="0" r="635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6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CA44FB" w:rsidRPr="00543AB0" w14:paraId="0AFB0406" w14:textId="77777777" w:rsidTr="00CA44FB">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CA44FB" w:rsidRPr="006F31C1" w14:paraId="262DD0F9" w14:textId="77777777" w:rsidTr="00824542">
                                    <w:trPr>
                                      <w:trHeight w:val="168"/>
                                    </w:trPr>
                                    <w:tc>
                                      <w:tcPr>
                                        <w:tcW w:w="2898" w:type="dxa"/>
                                        <w:gridSpan w:val="5"/>
                                        <w:shd w:val="clear" w:color="auto" w:fill="auto"/>
                                        <w:vAlign w:val="bottom"/>
                                      </w:tcPr>
                                      <w:p w14:paraId="6429697C" w14:textId="7E801101" w:rsidR="00CA44FB" w:rsidRPr="00824542" w:rsidRDefault="00CA44FB"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CA44FB" w:rsidRPr="00824542" w:rsidRDefault="00CA44FB"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CA44FB" w:rsidRPr="006F31C1" w14:paraId="7E4321A5" w14:textId="77777777" w:rsidTr="00824542">
                                    <w:trPr>
                                      <w:trHeight w:val="20"/>
                                    </w:trPr>
                                    <w:tc>
                                      <w:tcPr>
                                        <w:tcW w:w="2199" w:type="dxa"/>
                                        <w:gridSpan w:val="4"/>
                                        <w:shd w:val="clear" w:color="auto" w:fill="auto"/>
                                        <w:vAlign w:val="bottom"/>
                                      </w:tcPr>
                                      <w:p w14:paraId="661F4071" w14:textId="77777777" w:rsidR="00CA44FB" w:rsidRPr="00824542" w:rsidRDefault="00CA44FB"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CA44FB" w:rsidRPr="00824542" w:rsidRDefault="00CA44FB"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CA44FB" w:rsidRPr="00824542" w:rsidRDefault="00CA44FB"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CA44FB"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CA44FB" w:rsidRPr="006F31C1" w:rsidRDefault="00CA44FB" w:rsidP="00CA44FB">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CA44FB" w:rsidRPr="00543AB0" w:rsidRDefault="00CA44FB" w:rsidP="00CA44FB">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CA44FB" w:rsidRPr="00BA499D" w:rsidRDefault="00CA44FB"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CA44FB" w:rsidRPr="00BA499D" w:rsidRDefault="00CA44FB"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CA44FB" w:rsidRPr="00BA499D" w:rsidRDefault="00CA44FB"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CA44FB" w:rsidRPr="00BA499D" w:rsidRDefault="00CA44FB"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CA44FB" w:rsidRPr="00BA499D" w:rsidRDefault="00CA44FB"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CA44FB" w:rsidRPr="00BA499D" w:rsidRDefault="00CA44FB" w:rsidP="00824542">
                            <w:pPr>
                              <w:pStyle w:val="KIIDtext1"/>
                              <w:spacing w:line="254" w:lineRule="auto"/>
                              <w:rPr>
                                <w:rFonts w:cs="Arial"/>
                                <w:b/>
                                <w:sz w:val="16"/>
                                <w:szCs w:val="16"/>
                              </w:rPr>
                            </w:pPr>
                            <w:r w:rsidRPr="00BA499D">
                              <w:rPr>
                                <w:b/>
                                <w:sz w:val="16"/>
                                <w:szCs w:val="16"/>
                              </w:rPr>
                              <w:t>Sonstige wesentliche Risiken</w:t>
                            </w:r>
                          </w:p>
                          <w:p w14:paraId="51158BAB" w14:textId="718C9CF4" w:rsidR="00CA44FB" w:rsidRPr="00BA499D" w:rsidRDefault="00CA44FB"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CA44FB" w:rsidRPr="00EC7D6F" w:rsidRDefault="00CA44FB" w:rsidP="005B6E23">
                            <w:pPr>
                              <w:pStyle w:val="KIIDtext1"/>
                              <w:rPr>
                                <w:sz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3" type="#_x0000_t202" style="position:absolute;margin-left:-49.5pt;margin-top:341pt;width:271pt;height:367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64"/>
                      </w:tblGrid>
                      <w:tr w:rsidR="00CA44FB" w:rsidRPr="00543AB0" w14:paraId="0AFB0406" w14:textId="77777777" w:rsidTr="00CA44FB">
                        <w:tc>
                          <w:tcPr>
                            <w:tcW w:w="4939" w:type="dxa"/>
                            <w:tcBorders>
                              <w:top w:val="nil"/>
                              <w:left w:val="nil"/>
                              <w:bottom w:val="nil"/>
                              <w:right w:val="nil"/>
                            </w:tcBorders>
                            <w:shd w:val="clear" w:color="auto" w:fill="auto"/>
                          </w:tcPr>
                          <w:tbl>
                            <w:tblPr>
                              <w:tblW w:w="4995"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778"/>
                              <w:gridCol w:w="699"/>
                              <w:gridCol w:w="699"/>
                              <w:gridCol w:w="699"/>
                              <w:gridCol w:w="699"/>
                            </w:tblGrid>
                            <w:tr w:rsidR="00CA44FB" w:rsidRPr="006F31C1" w14:paraId="262DD0F9" w14:textId="77777777" w:rsidTr="00824542">
                              <w:trPr>
                                <w:trHeight w:val="168"/>
                              </w:trPr>
                              <w:tc>
                                <w:tcPr>
                                  <w:tcW w:w="2898" w:type="dxa"/>
                                  <w:gridSpan w:val="5"/>
                                  <w:shd w:val="clear" w:color="auto" w:fill="auto"/>
                                  <w:vAlign w:val="bottom"/>
                                </w:tcPr>
                                <w:p w14:paraId="6429697C" w14:textId="7E801101" w:rsidR="00CA44FB" w:rsidRPr="00824542" w:rsidRDefault="00CA44FB" w:rsidP="00824542">
                                  <w:pPr>
                                    <w:autoSpaceDE w:val="0"/>
                                    <w:autoSpaceDN w:val="0"/>
                                    <w:adjustRightInd w:val="0"/>
                                    <w:spacing w:line="240" w:lineRule="auto"/>
                                    <w:jc w:val="left"/>
                                    <w:rPr>
                                      <w:rFonts w:cs="Arial"/>
                                      <w:i/>
                                      <w:color w:val="8C8984"/>
                                      <w:sz w:val="15"/>
                                      <w:szCs w:val="15"/>
                                    </w:rPr>
                                  </w:pPr>
                                  <w:r w:rsidRPr="00824542">
                                    <w:rPr>
                                      <w:b/>
                                      <w:i/>
                                      <w:color w:val="006747"/>
                                      <w:sz w:val="15"/>
                                      <w:szCs w:val="15"/>
                                    </w:rPr>
                                    <w:t>Niedrigeres Risiko</w:t>
                                  </w:r>
                                </w:p>
                              </w:tc>
                              <w:tc>
                                <w:tcPr>
                                  <w:tcW w:w="2097" w:type="dxa"/>
                                  <w:gridSpan w:val="3"/>
                                  <w:shd w:val="clear" w:color="auto" w:fill="auto"/>
                                  <w:vAlign w:val="bottom"/>
                                </w:tcPr>
                                <w:p w14:paraId="760E85BE" w14:textId="77777777" w:rsidR="00CA44FB" w:rsidRPr="00824542" w:rsidRDefault="00CA44FB" w:rsidP="00824542">
                                  <w:pPr>
                                    <w:autoSpaceDE w:val="0"/>
                                    <w:autoSpaceDN w:val="0"/>
                                    <w:adjustRightInd w:val="0"/>
                                    <w:spacing w:line="240" w:lineRule="auto"/>
                                    <w:jc w:val="right"/>
                                    <w:rPr>
                                      <w:rFonts w:cs="Arial"/>
                                      <w:b/>
                                      <w:i/>
                                      <w:color w:val="006747"/>
                                      <w:sz w:val="15"/>
                                      <w:szCs w:val="15"/>
                                    </w:rPr>
                                  </w:pPr>
                                  <w:r w:rsidRPr="00824542">
                                    <w:rPr>
                                      <w:b/>
                                      <w:i/>
                                      <w:color w:val="006747"/>
                                      <w:sz w:val="15"/>
                                      <w:szCs w:val="15"/>
                                    </w:rPr>
                                    <w:t>Höheres Risiko</w:t>
                                  </w:r>
                                </w:p>
                              </w:tc>
                            </w:tr>
                            <w:tr w:rsidR="00CA44FB" w:rsidRPr="006F31C1" w14:paraId="7E4321A5" w14:textId="77777777" w:rsidTr="00824542">
                              <w:trPr>
                                <w:trHeight w:val="20"/>
                              </w:trPr>
                              <w:tc>
                                <w:tcPr>
                                  <w:tcW w:w="2199" w:type="dxa"/>
                                  <w:gridSpan w:val="4"/>
                                  <w:shd w:val="clear" w:color="auto" w:fill="auto"/>
                                  <w:vAlign w:val="bottom"/>
                                </w:tcPr>
                                <w:p w14:paraId="661F4071" w14:textId="77777777" w:rsidR="00CA44FB" w:rsidRPr="00824542" w:rsidRDefault="00CA44FB" w:rsidP="00824542">
                                  <w:pPr>
                                    <w:autoSpaceDE w:val="0"/>
                                    <w:autoSpaceDN w:val="0"/>
                                    <w:adjustRightInd w:val="0"/>
                                    <w:spacing w:line="240" w:lineRule="auto"/>
                                    <w:jc w:val="left"/>
                                    <w:rPr>
                                      <w:rFonts w:cs="Arial"/>
                                      <w:i/>
                                      <w:color w:val="8C8984"/>
                                      <w:sz w:val="14"/>
                                      <w:szCs w:val="14"/>
                                    </w:rPr>
                                  </w:pPr>
                                  <w:r w:rsidRPr="00824542">
                                    <w:rPr>
                                      <w:b/>
                                      <w:i/>
                                      <w:color w:val="006747"/>
                                      <w:sz w:val="14"/>
                                      <w:szCs w:val="14"/>
                                    </w:rPr>
                                    <w:t>Typischerweise niedrige Erträge</w:t>
                                  </w:r>
                                </w:p>
                              </w:tc>
                              <w:tc>
                                <w:tcPr>
                                  <w:tcW w:w="699" w:type="dxa"/>
                                  <w:shd w:val="clear" w:color="auto" w:fill="auto"/>
                                  <w:vAlign w:val="bottom"/>
                                </w:tcPr>
                                <w:p w14:paraId="57F81ADF" w14:textId="77777777" w:rsidR="00CA44FB" w:rsidRPr="00824542" w:rsidRDefault="00CA44FB" w:rsidP="00BA499D">
                                  <w:pPr>
                                    <w:autoSpaceDE w:val="0"/>
                                    <w:autoSpaceDN w:val="0"/>
                                    <w:adjustRightInd w:val="0"/>
                                    <w:spacing w:line="240" w:lineRule="auto"/>
                                    <w:jc w:val="center"/>
                                    <w:rPr>
                                      <w:rFonts w:cs="Arial"/>
                                      <w:i/>
                                      <w:color w:val="8C8984"/>
                                      <w:sz w:val="14"/>
                                      <w:szCs w:val="14"/>
                                    </w:rPr>
                                  </w:pPr>
                                </w:p>
                              </w:tc>
                              <w:tc>
                                <w:tcPr>
                                  <w:tcW w:w="2097" w:type="dxa"/>
                                  <w:gridSpan w:val="3"/>
                                  <w:shd w:val="clear" w:color="auto" w:fill="auto"/>
                                  <w:vAlign w:val="bottom"/>
                                </w:tcPr>
                                <w:p w14:paraId="642BC576" w14:textId="77777777" w:rsidR="00CA44FB" w:rsidRPr="00824542" w:rsidRDefault="00CA44FB" w:rsidP="00824542">
                                  <w:pPr>
                                    <w:autoSpaceDE w:val="0"/>
                                    <w:autoSpaceDN w:val="0"/>
                                    <w:adjustRightInd w:val="0"/>
                                    <w:spacing w:line="240" w:lineRule="auto"/>
                                    <w:ind w:right="-16"/>
                                    <w:jc w:val="center"/>
                                    <w:rPr>
                                      <w:rFonts w:cs="Arial"/>
                                      <w:b/>
                                      <w:i/>
                                      <w:color w:val="006747"/>
                                      <w:sz w:val="14"/>
                                      <w:szCs w:val="14"/>
                                    </w:rPr>
                                  </w:pPr>
                                  <w:r w:rsidRPr="00824542">
                                    <w:rPr>
                                      <w:b/>
                                      <w:i/>
                                      <w:color w:val="006747"/>
                                      <w:sz w:val="14"/>
                                      <w:szCs w:val="14"/>
                                    </w:rPr>
                                    <w:t>Typischerweise höhere Erträge</w:t>
                                  </w:r>
                                </w:p>
                              </w:tc>
                            </w:tr>
                            <w:tr w:rsidR="00CA44FB" w:rsidRPr="006F31C1" w14:paraId="1BFF7AA0" w14:textId="77777777" w:rsidTr="00824542">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2</w:t>
                                  </w:r>
                                </w:p>
                              </w:tc>
                              <w:tc>
                                <w:tcPr>
                                  <w:tcW w:w="778"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CA44FB" w:rsidRPr="006F31C1" w:rsidRDefault="00CA44FB" w:rsidP="00CA44FB">
                                  <w:pPr>
                                    <w:autoSpaceDE w:val="0"/>
                                    <w:autoSpaceDN w:val="0"/>
                                    <w:adjustRightInd w:val="0"/>
                                    <w:spacing w:before="80" w:after="60"/>
                                    <w:jc w:val="center"/>
                                    <w:rPr>
                                      <w:rFonts w:cs="Arial"/>
                                      <w:b/>
                                      <w:color w:val="FFFFFF"/>
                                      <w:szCs w:val="16"/>
                                    </w:rPr>
                                  </w:pPr>
                                  <w:r>
                                    <w:rPr>
                                      <w:b/>
                                      <w:color w:val="FFFFFF"/>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CA44FB" w:rsidRPr="006F31C1" w:rsidRDefault="00CA44FB" w:rsidP="00CA44FB">
                                  <w:pPr>
                                    <w:autoSpaceDE w:val="0"/>
                                    <w:autoSpaceDN w:val="0"/>
                                    <w:adjustRightInd w:val="0"/>
                                    <w:spacing w:before="80" w:after="60"/>
                                    <w:jc w:val="center"/>
                                    <w:rPr>
                                      <w:rFonts w:cs="Arial"/>
                                      <w:b/>
                                      <w:color w:val="006747"/>
                                      <w:szCs w:val="16"/>
                                    </w:rPr>
                                  </w:pPr>
                                  <w:r>
                                    <w:rPr>
                                      <w:b/>
                                      <w:color w:val="006747"/>
                                    </w:rPr>
                                    <w:t>7</w:t>
                                  </w:r>
                                </w:p>
                              </w:tc>
                            </w:tr>
                          </w:tbl>
                          <w:p w14:paraId="331014CE" w14:textId="77777777" w:rsidR="00CA44FB" w:rsidRPr="00543AB0" w:rsidRDefault="00CA44FB" w:rsidP="00CA44FB">
                            <w:pPr>
                              <w:tabs>
                                <w:tab w:val="left" w:pos="2268"/>
                              </w:tabs>
                              <w:autoSpaceDE w:val="0"/>
                              <w:autoSpaceDN w:val="0"/>
                              <w:adjustRightInd w:val="0"/>
                              <w:spacing w:before="80" w:after="60"/>
                              <w:rPr>
                                <w:rFonts w:ascii="Gill Sans MT" w:hAnsi="Gill Sans MT"/>
                                <w:color w:val="FFFFFF"/>
                                <w:sz w:val="16"/>
                                <w:szCs w:val="16"/>
                              </w:rPr>
                            </w:pPr>
                          </w:p>
                        </w:tc>
                      </w:tr>
                    </w:tbl>
                    <w:p w14:paraId="21D7440D" w14:textId="29CAFF77" w:rsidR="00CA44FB" w:rsidRPr="00BA499D" w:rsidRDefault="00CA44FB" w:rsidP="00824542">
                      <w:pPr>
                        <w:pStyle w:val="KIIDtext1"/>
                        <w:spacing w:before="180" w:line="254" w:lineRule="auto"/>
                        <w:rPr>
                          <w:sz w:val="16"/>
                          <w:szCs w:val="16"/>
                        </w:rPr>
                      </w:pPr>
                      <w:r w:rsidRPr="00BA499D">
                        <w:rPr>
                          <w:sz w:val="16"/>
                          <w:szCs w:val="16"/>
                        </w:rPr>
                        <w:t>Der Fonds ist aufgrund seiner Anlagen in Wandelanleihen und seines Einsatzes von FDI für diese Tabelle in die Stufe 4 eingeordnet worden. Das bedeutet, dass das Risiko des Fonds normalerweise höher ist als das Risiko von Rententiteln, aber niedriger als das Risiko von Aktientiteln.</w:t>
                      </w:r>
                    </w:p>
                    <w:p w14:paraId="5A5A5B79" w14:textId="77777777" w:rsidR="00CA44FB" w:rsidRPr="00BA499D" w:rsidRDefault="00CA44FB" w:rsidP="00824542">
                      <w:pPr>
                        <w:pStyle w:val="KIIDtext1"/>
                        <w:spacing w:line="254" w:lineRule="auto"/>
                        <w:rPr>
                          <w:sz w:val="16"/>
                          <w:szCs w:val="16"/>
                        </w:rPr>
                      </w:pPr>
                      <w:r w:rsidRPr="00BA499D">
                        <w:rPr>
                          <w:sz w:val="16"/>
                          <w:szCs w:val="16"/>
                        </w:rPr>
                        <w:t>Der Fonds kann ebenso wie die Märkte für Wandelanleihen und Aktien von Zeit zu Zeit fallende Preise erfahren. Zwar versucht der Fonds, durch Anlage in ein diversifiziertes Anlagespektrum sein Risiko zu reduzieren, jedoch lassen sich durch eine solche Risikostreuung die Risiken nicht vollständig ausschalten.</w:t>
                      </w:r>
                    </w:p>
                    <w:p w14:paraId="57740600" w14:textId="6BB74986" w:rsidR="00CA44FB" w:rsidRPr="00BA499D" w:rsidRDefault="00CA44FB" w:rsidP="00824542">
                      <w:pPr>
                        <w:pStyle w:val="KIIDtext1"/>
                        <w:spacing w:line="254" w:lineRule="auto"/>
                        <w:rPr>
                          <w:sz w:val="16"/>
                          <w:szCs w:val="16"/>
                        </w:rPr>
                      </w:pPr>
                      <w:r w:rsidRPr="00BA499D">
                        <w:rPr>
                          <w:sz w:val="16"/>
                          <w:szCs w:val="16"/>
                        </w:rPr>
                        <w:t>Der Risiko- und Ertragsindikator wurde anhand historischer Daten berechnet und ist kein verlässlicher Hinweis auf das künftige Risiko- und Ertragsprofil des Fonds.</w:t>
                      </w:r>
                    </w:p>
                    <w:p w14:paraId="19170E10" w14:textId="2D64FA7C" w:rsidR="00CA44FB" w:rsidRPr="00BA499D" w:rsidRDefault="00CA44FB" w:rsidP="00824542">
                      <w:pPr>
                        <w:pStyle w:val="KIIDtext1"/>
                        <w:spacing w:line="254" w:lineRule="auto"/>
                        <w:rPr>
                          <w:sz w:val="16"/>
                          <w:szCs w:val="16"/>
                        </w:rPr>
                      </w:pPr>
                      <w:r w:rsidRPr="00BA499D">
                        <w:rPr>
                          <w:sz w:val="16"/>
                          <w:szCs w:val="16"/>
                        </w:rPr>
                        <w:t>Die oben dargestellte Risiko- und Ertragskategorie kann nicht garantiert werden und könnte sich im Laufe der Zeit ändern. Die niedrigste Kategorie kann nicht mit einer risikofreien Anlage gleich gesetzt werden.</w:t>
                      </w:r>
                    </w:p>
                    <w:p w14:paraId="4F759B39" w14:textId="7C72D361" w:rsidR="00CA44FB" w:rsidRPr="00BA499D" w:rsidRDefault="00CA44FB" w:rsidP="00824542">
                      <w:pPr>
                        <w:pStyle w:val="KIIDtext1"/>
                        <w:spacing w:line="254" w:lineRule="auto"/>
                        <w:rPr>
                          <w:sz w:val="16"/>
                          <w:szCs w:val="16"/>
                        </w:rPr>
                      </w:pPr>
                      <w:r w:rsidRPr="00BA499D">
                        <w:rPr>
                          <w:sz w:val="16"/>
                          <w:szCs w:val="16"/>
                        </w:rPr>
                        <w:t>Der Fondspreis kann sowohl steigen als auch fallen. Es ist daher möglich, dass Sie nicht den ursprünglich investierten Betrag zurückerhalten.</w:t>
                      </w:r>
                    </w:p>
                    <w:p w14:paraId="5E146FE5" w14:textId="77777777" w:rsidR="00CA44FB" w:rsidRPr="00BA499D" w:rsidRDefault="00CA44FB" w:rsidP="00824542">
                      <w:pPr>
                        <w:pStyle w:val="KIIDtext1"/>
                        <w:spacing w:line="254" w:lineRule="auto"/>
                        <w:rPr>
                          <w:rFonts w:cs="Arial"/>
                          <w:b/>
                          <w:sz w:val="16"/>
                          <w:szCs w:val="16"/>
                        </w:rPr>
                      </w:pPr>
                      <w:r w:rsidRPr="00BA499D">
                        <w:rPr>
                          <w:b/>
                          <w:sz w:val="16"/>
                          <w:szCs w:val="16"/>
                        </w:rPr>
                        <w:t>Sonstige wesentliche Risiken</w:t>
                      </w:r>
                    </w:p>
                    <w:p w14:paraId="51158BAB" w14:textId="718C9CF4" w:rsidR="00CA44FB" w:rsidRPr="00BA499D" w:rsidRDefault="00CA44FB" w:rsidP="00824542">
                      <w:pPr>
                        <w:pStyle w:val="KIIDtext1"/>
                        <w:numPr>
                          <w:ilvl w:val="0"/>
                          <w:numId w:val="5"/>
                        </w:numPr>
                        <w:spacing w:line="254" w:lineRule="auto"/>
                        <w:rPr>
                          <w:rFonts w:cs="Arial"/>
                          <w:sz w:val="16"/>
                          <w:szCs w:val="16"/>
                        </w:rPr>
                      </w:pPr>
                      <w:r w:rsidRPr="00BA499D">
                        <w:rPr>
                          <w:b/>
                          <w:sz w:val="16"/>
                          <w:szCs w:val="16"/>
                        </w:rPr>
                        <w:t>Kredit-/Kontrahentenrisiko</w:t>
                      </w:r>
                      <w:r w:rsidRPr="00BA499D">
                        <w:rPr>
                          <w:sz w:val="16"/>
                          <w:szCs w:val="16"/>
                        </w:rPr>
                        <w:t>: Ein Vertragspartner oder Wertpapieremittent, mit dem der Fonds Transaktionen tätigt, könnte seinen Verpflichtungen nicht nachkommen, was zu Verlusten führen könnte.</w:t>
                      </w:r>
                    </w:p>
                    <w:p w14:paraId="5C2434DC" w14:textId="77777777" w:rsidR="00CA44FB" w:rsidRPr="00EC7D6F" w:rsidRDefault="00CA44FB" w:rsidP="005B6E23">
                      <w:pPr>
                        <w:pStyle w:val="KIIDtext1"/>
                        <w:rPr>
                          <w:sz w:val="17"/>
                          <w:lang w:val="en-GB"/>
                        </w:rPr>
                      </w:pPr>
                    </w:p>
                  </w:txbxContent>
                </v:textbox>
              </v:shape>
            </w:pict>
          </mc:Fallback>
        </mc:AlternateContent>
      </w:r>
      <w:r w:rsidR="00640079">
        <w:rPr>
          <w:noProof/>
          <w:lang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CA44FB" w:rsidRPr="006F31C1" w:rsidRDefault="00CA44FB" w:rsidP="005B6E23">
                            <w:pPr>
                              <w:pStyle w:val="BoldSubHead"/>
                              <w:spacing w:before="0"/>
                            </w:pPr>
                            <w:r>
                              <w:t>Risiko- und Ertragsprofil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CA44FB" w:rsidRPr="006F31C1" w:rsidRDefault="00CA44FB" w:rsidP="005B6E23">
                      <w:pPr>
                        <w:pStyle w:val="BoldSubHead"/>
                        <w:spacing w:before="0"/>
                      </w:pPr>
                      <w:r>
                        <w:t>Risiko- und Ertragsprofil</w:t>
                      </w:r>
                    </w:p>
                  </w:txbxContent>
                </v:textbox>
              </v:shape>
            </w:pict>
          </mc:Fallback>
        </mc:AlternateContent>
      </w:r>
      <w:r w:rsidR="00640079">
        <w:rPr>
          <w:noProof/>
          <w:color w:val="000000"/>
          <w:lang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CA44FB" w:rsidRPr="006F31C1" w:rsidRDefault="00CA44FB"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CA44FB" w:rsidRPr="006F31C1" w:rsidRDefault="00CA44FB"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640079">
        <w:br w:type="page"/>
      </w:r>
    </w:p>
    <w:p w14:paraId="1182EDA0" w14:textId="511C5BB7" w:rsidR="005B6E23" w:rsidRDefault="00F26250">
      <w:pPr>
        <w:widowControl/>
        <w:spacing w:after="160" w:line="259" w:lineRule="auto"/>
        <w:jc w:val="left"/>
      </w:pPr>
      <w:r>
        <w:rPr>
          <w:noProof/>
          <w:lang w:eastAsia="ja-JP"/>
        </w:rPr>
        <w:lastRenderedPageBreak/>
        <mc:AlternateContent>
          <mc:Choice Requires="wps">
            <w:drawing>
              <wp:anchor distT="0" distB="0" distL="114300" distR="114300" simplePos="0" relativeHeight="251676672" behindDoc="0" locked="0" layoutInCell="1" allowOverlap="1" wp14:anchorId="5F4798A8" wp14:editId="3BBF7B49">
                <wp:simplePos x="0" y="0"/>
                <wp:positionH relativeFrom="column">
                  <wp:posOffset>2981325</wp:posOffset>
                </wp:positionH>
                <wp:positionV relativeFrom="paragraph">
                  <wp:posOffset>-247650</wp:posOffset>
                </wp:positionV>
                <wp:extent cx="3383915" cy="252412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5241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CA44FB" w14:paraId="3ACABF2B" w14:textId="77777777" w:rsidTr="00547654">
                              <w:trPr>
                                <w:trHeight w:val="283"/>
                              </w:trPr>
                              <w:tc>
                                <w:tcPr>
                                  <w:tcW w:w="5045" w:type="dxa"/>
                                  <w:gridSpan w:val="6"/>
                                  <w:shd w:val="clear" w:color="auto" w:fill="006747"/>
                                </w:tcPr>
                                <w:p w14:paraId="059185E8" w14:textId="77777777" w:rsidR="00CA44FB" w:rsidRPr="006F31C1" w:rsidRDefault="00CA44FB"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CA44FB" w14:paraId="07282F6D" w14:textId="77777777" w:rsidTr="00547654">
                              <w:tc>
                                <w:tcPr>
                                  <w:tcW w:w="1587" w:type="dxa"/>
                                  <w:tcBorders>
                                    <w:bottom w:val="single" w:sz="8" w:space="0" w:color="CCE1DA"/>
                                  </w:tcBorders>
                                  <w:shd w:val="clear" w:color="auto" w:fill="CCE1DA"/>
                                </w:tcPr>
                                <w:p w14:paraId="0F149CB5" w14:textId="77777777" w:rsidR="00CA44FB" w:rsidRPr="00790B90" w:rsidRDefault="00CA44FB"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CA44FB" w:rsidRPr="00790B90" w:rsidRDefault="00CA44FB"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CA44FB" w:rsidRPr="00790B90" w:rsidRDefault="00CA44FB"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CA44FB" w:rsidRPr="00790B90" w:rsidRDefault="00CA44FB"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CA44FB" w:rsidRPr="00790B90" w:rsidRDefault="00CA44FB"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CA44FB" w14:paraId="1BF5D050" w14:textId="77777777" w:rsidTr="00547654">
                              <w:tc>
                                <w:tcPr>
                                  <w:tcW w:w="5045" w:type="dxa"/>
                                  <w:gridSpan w:val="6"/>
                                  <w:shd w:val="clear" w:color="auto" w:fill="auto"/>
                                </w:tcPr>
                                <w:p w14:paraId="2BB00D2A" w14:textId="612C839B" w:rsidR="00CA44FB" w:rsidRPr="00790B90" w:rsidRDefault="00CA44FB"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CA44FB" w14:paraId="3DE3479F" w14:textId="77777777" w:rsidTr="00547654">
                              <w:trPr>
                                <w:trHeight w:val="283"/>
                              </w:trPr>
                              <w:tc>
                                <w:tcPr>
                                  <w:tcW w:w="5045" w:type="dxa"/>
                                  <w:gridSpan w:val="6"/>
                                  <w:shd w:val="clear" w:color="auto" w:fill="006747"/>
                                </w:tcPr>
                                <w:p w14:paraId="40454E8D" w14:textId="77777777" w:rsidR="00CA44FB" w:rsidRPr="00790B90" w:rsidRDefault="00CA44FB"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CA44FB" w14:paraId="1392D75E" w14:textId="77777777" w:rsidTr="00547654">
                              <w:tc>
                                <w:tcPr>
                                  <w:tcW w:w="2426" w:type="dxa"/>
                                  <w:gridSpan w:val="3"/>
                                  <w:tcBorders>
                                    <w:bottom w:val="single" w:sz="8" w:space="0" w:color="CCE1DA"/>
                                  </w:tcBorders>
                                  <w:shd w:val="clear" w:color="auto" w:fill="CCE1DA"/>
                                </w:tcPr>
                                <w:p w14:paraId="533F74C7" w14:textId="77777777" w:rsidR="00CA44FB" w:rsidRPr="00790B90" w:rsidRDefault="00CA44FB"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67C3B09E" w:rsidR="00CA44FB" w:rsidRPr="00790B90" w:rsidRDefault="00D04B68" w:rsidP="00260AA8">
                                  <w:pPr>
                                    <w:pStyle w:val="KIIDtext1"/>
                                    <w:autoSpaceDE w:val="0"/>
                                    <w:autoSpaceDN w:val="0"/>
                                    <w:adjustRightInd w:val="0"/>
                                    <w:spacing w:line="200" w:lineRule="exact"/>
                                    <w:rPr>
                                      <w:rFonts w:cs="Arial"/>
                                      <w:b/>
                                      <w:sz w:val="14"/>
                                      <w:szCs w:val="14"/>
                                    </w:rPr>
                                  </w:pPr>
                                  <w:r>
                                    <w:rPr>
                                      <w:sz w:val="14"/>
                                      <w:szCs w:val="14"/>
                                    </w:rPr>
                                    <w:t>1,9</w:t>
                                  </w:r>
                                  <w:r w:rsidR="00CA44FB" w:rsidRPr="00790B90">
                                    <w:rPr>
                                      <w:sz w:val="14"/>
                                      <w:szCs w:val="14"/>
                                    </w:rPr>
                                    <w:t>3%</w:t>
                                  </w:r>
                                </w:p>
                              </w:tc>
                            </w:tr>
                            <w:tr w:rsidR="00CA44FB" w14:paraId="473D24F6" w14:textId="77777777" w:rsidTr="00547654">
                              <w:trPr>
                                <w:trHeight w:val="283"/>
                              </w:trPr>
                              <w:tc>
                                <w:tcPr>
                                  <w:tcW w:w="5045" w:type="dxa"/>
                                  <w:gridSpan w:val="6"/>
                                  <w:shd w:val="clear" w:color="auto" w:fill="006747"/>
                                </w:tcPr>
                                <w:p w14:paraId="39E2A768" w14:textId="77777777" w:rsidR="00CA44FB" w:rsidRPr="00790B90" w:rsidRDefault="00CA44FB"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CA44FB" w14:paraId="235B34B0" w14:textId="77777777" w:rsidTr="00547654">
                              <w:tc>
                                <w:tcPr>
                                  <w:tcW w:w="2426" w:type="dxa"/>
                                  <w:gridSpan w:val="3"/>
                                  <w:tcBorders>
                                    <w:bottom w:val="single" w:sz="8" w:space="0" w:color="CCE1DA"/>
                                  </w:tcBorders>
                                  <w:shd w:val="clear" w:color="auto" w:fill="CCE1DA"/>
                                  <w:vAlign w:val="center"/>
                                </w:tcPr>
                                <w:p w14:paraId="0FBFC597" w14:textId="77777777" w:rsidR="00CA44FB" w:rsidRPr="000D0763" w:rsidRDefault="00CA44FB"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CA44FB" w:rsidRPr="00BF2182" w:rsidRDefault="00CA44FB"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00489880" w:rsidR="00CA44FB" w:rsidRPr="00BF2182" w:rsidRDefault="00CA44FB" w:rsidP="00D04B68">
                                  <w:pPr>
                                    <w:pStyle w:val="KIIDtext1"/>
                                    <w:autoSpaceDE w:val="0"/>
                                    <w:autoSpaceDN w:val="0"/>
                                    <w:adjustRightInd w:val="0"/>
                                    <w:spacing w:line="200" w:lineRule="exact"/>
                                    <w:rPr>
                                      <w:rFonts w:cs="Arial"/>
                                      <w:sz w:val="12"/>
                                      <w:szCs w:val="12"/>
                                    </w:rPr>
                                  </w:pPr>
                                  <w:r w:rsidRPr="00BF2182">
                                    <w:rPr>
                                      <w:sz w:val="12"/>
                                      <w:szCs w:val="12"/>
                                    </w:rPr>
                                    <w:t>Schwelle</w:t>
                                  </w:r>
                                  <w:r w:rsidR="00D04B68">
                                    <w:rPr>
                                      <w:sz w:val="12"/>
                                      <w:szCs w:val="12"/>
                                    </w:rPr>
                                    <w:t>: SONIA GBP für C2-GBP-Anteile</w:t>
                                  </w:r>
                                </w:p>
                              </w:tc>
                            </w:tr>
                          </w:tbl>
                          <w:p w14:paraId="265DD3B0" w14:textId="5766966C" w:rsidR="00CA44FB" w:rsidRPr="00F26250" w:rsidRDefault="00CA44FB"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CA44FB" w:rsidRPr="00EC7D6F" w:rsidRDefault="00CA44FB"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19.5pt;width:266.45pt;height:19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" filled="f" strokecolor="#006747">
                <v:textbox>
                  <w:txbxContent>
                    <w:tbl>
                      <w:tblPr>
                        <w:tblW w:w="5045" w:type="dxa"/>
                        <w:tblCellMar>
                          <w:top w:w="28" w:type="dxa"/>
                        </w:tblCellMar>
                        <w:tblLook w:val="04A0" w:firstRow="1" w:lastRow="0" w:firstColumn="1" w:lastColumn="0" w:noHBand="0" w:noVBand="1"/>
                      </w:tblPr>
                      <w:tblGrid>
                        <w:gridCol w:w="1581"/>
                        <w:gridCol w:w="730"/>
                        <w:gridCol w:w="101"/>
                        <w:gridCol w:w="286"/>
                        <w:gridCol w:w="1617"/>
                        <w:gridCol w:w="730"/>
                      </w:tblGrid>
                      <w:tr w:rsidR="00CA44FB" w14:paraId="3ACABF2B" w14:textId="77777777" w:rsidTr="00547654">
                        <w:trPr>
                          <w:trHeight w:val="283"/>
                        </w:trPr>
                        <w:tc>
                          <w:tcPr>
                            <w:tcW w:w="5045" w:type="dxa"/>
                            <w:gridSpan w:val="6"/>
                            <w:shd w:val="clear" w:color="auto" w:fill="006747"/>
                          </w:tcPr>
                          <w:p w14:paraId="059185E8" w14:textId="77777777" w:rsidR="00CA44FB" w:rsidRPr="006F31C1" w:rsidRDefault="00CA44FB" w:rsidP="00547654">
                            <w:pPr>
                              <w:tabs>
                                <w:tab w:val="left" w:pos="264"/>
                              </w:tabs>
                              <w:autoSpaceDE w:val="0"/>
                              <w:autoSpaceDN w:val="0"/>
                              <w:adjustRightInd w:val="0"/>
                              <w:spacing w:line="200" w:lineRule="exact"/>
                              <w:jc w:val="left"/>
                              <w:rPr>
                                <w:rFonts w:cs="Arial"/>
                                <w:b/>
                                <w:color w:val="FFFFFF"/>
                                <w:sz w:val="16"/>
                                <w:szCs w:val="16"/>
                              </w:rPr>
                            </w:pPr>
                            <w:r>
                              <w:rPr>
                                <w:b/>
                                <w:color w:val="FFFFFF"/>
                                <w:sz w:val="16"/>
                              </w:rPr>
                              <w:t>Einmalige Kosten vor und nach der Anlage</w:t>
                            </w:r>
                          </w:p>
                        </w:tc>
                      </w:tr>
                      <w:tr w:rsidR="00CA44FB" w14:paraId="07282F6D" w14:textId="77777777" w:rsidTr="00547654">
                        <w:tc>
                          <w:tcPr>
                            <w:tcW w:w="1587" w:type="dxa"/>
                            <w:tcBorders>
                              <w:bottom w:val="single" w:sz="8" w:space="0" w:color="CCE1DA"/>
                            </w:tcBorders>
                            <w:shd w:val="clear" w:color="auto" w:fill="CCE1DA"/>
                          </w:tcPr>
                          <w:p w14:paraId="0F149CB5" w14:textId="77777777" w:rsidR="00CA44FB" w:rsidRPr="00790B90" w:rsidRDefault="00CA44FB"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Ausgabeaufschlag</w:t>
                            </w:r>
                          </w:p>
                        </w:tc>
                        <w:tc>
                          <w:tcPr>
                            <w:tcW w:w="737" w:type="dxa"/>
                            <w:tcBorders>
                              <w:bottom w:val="single" w:sz="8" w:space="0" w:color="CCE1DA"/>
                              <w:right w:val="single" w:sz="8" w:space="0" w:color="CCE1DA"/>
                            </w:tcBorders>
                            <w:shd w:val="clear" w:color="auto" w:fill="auto"/>
                          </w:tcPr>
                          <w:p w14:paraId="24CC7531" w14:textId="2EB68F93" w:rsidR="00CA44FB" w:rsidRPr="00790B90" w:rsidRDefault="00CA44FB" w:rsidP="00547654">
                            <w:pPr>
                              <w:pStyle w:val="KIIDtext1"/>
                              <w:autoSpaceDE w:val="0"/>
                              <w:autoSpaceDN w:val="0"/>
                              <w:adjustRightInd w:val="0"/>
                              <w:spacing w:line="200" w:lineRule="exact"/>
                              <w:rPr>
                                <w:rFonts w:cs="Arial"/>
                                <w:sz w:val="14"/>
                                <w:szCs w:val="14"/>
                              </w:rPr>
                            </w:pPr>
                            <w:r w:rsidRPr="00790B90">
                              <w:rPr>
                                <w:sz w:val="14"/>
                                <w:szCs w:val="14"/>
                              </w:rPr>
                              <w:t>Keiner</w:t>
                            </w:r>
                          </w:p>
                        </w:tc>
                        <w:tc>
                          <w:tcPr>
                            <w:tcW w:w="397" w:type="dxa"/>
                            <w:gridSpan w:val="2"/>
                            <w:tcBorders>
                              <w:left w:val="single" w:sz="8" w:space="0" w:color="CCE1DA"/>
                            </w:tcBorders>
                            <w:shd w:val="clear" w:color="auto" w:fill="FFFFFF"/>
                          </w:tcPr>
                          <w:p w14:paraId="52B89D6F" w14:textId="77777777" w:rsidR="00CA44FB" w:rsidRPr="00790B90" w:rsidRDefault="00CA44FB" w:rsidP="00547654">
                            <w:pPr>
                              <w:pStyle w:val="KIIDtext1"/>
                              <w:autoSpaceDE w:val="0"/>
                              <w:autoSpaceDN w:val="0"/>
                              <w:adjustRightInd w:val="0"/>
                              <w:spacing w:line="200" w:lineRule="exact"/>
                              <w:rPr>
                                <w:rFonts w:cs="Arial"/>
                                <w:sz w:val="14"/>
                                <w:szCs w:val="14"/>
                              </w:rPr>
                            </w:pPr>
                          </w:p>
                        </w:tc>
                        <w:tc>
                          <w:tcPr>
                            <w:tcW w:w="1587" w:type="dxa"/>
                            <w:tcBorders>
                              <w:bottom w:val="single" w:sz="8" w:space="0" w:color="CCE1DA"/>
                            </w:tcBorders>
                            <w:shd w:val="clear" w:color="auto" w:fill="CCE1DA"/>
                          </w:tcPr>
                          <w:p w14:paraId="0F7C93DA" w14:textId="77777777" w:rsidR="00CA44FB" w:rsidRPr="00790B90" w:rsidRDefault="00CA44FB" w:rsidP="00547654">
                            <w:pPr>
                              <w:pStyle w:val="KIIDtext1"/>
                              <w:autoSpaceDE w:val="0"/>
                              <w:autoSpaceDN w:val="0"/>
                              <w:adjustRightInd w:val="0"/>
                              <w:spacing w:line="200" w:lineRule="exact"/>
                              <w:rPr>
                                <w:rFonts w:cs="Arial"/>
                                <w:sz w:val="14"/>
                                <w:szCs w:val="14"/>
                              </w:rPr>
                            </w:pPr>
                            <w:r w:rsidRPr="00790B90">
                              <w:rPr>
                                <w:b/>
                                <w:color w:val="006747"/>
                                <w:sz w:val="14"/>
                                <w:szCs w:val="14"/>
                              </w:rPr>
                              <w:t>Rücknahmeabschlag</w:t>
                            </w:r>
                          </w:p>
                        </w:tc>
                        <w:tc>
                          <w:tcPr>
                            <w:tcW w:w="737" w:type="dxa"/>
                            <w:tcBorders>
                              <w:bottom w:val="single" w:sz="8" w:space="0" w:color="CCE1DA"/>
                              <w:right w:val="single" w:sz="8" w:space="0" w:color="CCE1DA"/>
                            </w:tcBorders>
                            <w:shd w:val="clear" w:color="auto" w:fill="auto"/>
                          </w:tcPr>
                          <w:p w14:paraId="3940D495" w14:textId="636F668B" w:rsidR="00CA44FB" w:rsidRPr="00790B90" w:rsidRDefault="00CA44FB" w:rsidP="00547654">
                            <w:pPr>
                              <w:pStyle w:val="KIIDtext1"/>
                              <w:autoSpaceDE w:val="0"/>
                              <w:autoSpaceDN w:val="0"/>
                              <w:adjustRightInd w:val="0"/>
                              <w:spacing w:line="200" w:lineRule="exact"/>
                              <w:rPr>
                                <w:rFonts w:cs="Arial"/>
                                <w:sz w:val="14"/>
                                <w:szCs w:val="14"/>
                              </w:rPr>
                            </w:pPr>
                            <w:r w:rsidRPr="00790B90">
                              <w:rPr>
                                <w:sz w:val="14"/>
                                <w:szCs w:val="14"/>
                              </w:rPr>
                              <w:t>Keiner</w:t>
                            </w:r>
                          </w:p>
                        </w:tc>
                      </w:tr>
                      <w:tr w:rsidR="00CA44FB" w14:paraId="1BF5D050" w14:textId="77777777" w:rsidTr="00547654">
                        <w:tc>
                          <w:tcPr>
                            <w:tcW w:w="5045" w:type="dxa"/>
                            <w:gridSpan w:val="6"/>
                            <w:shd w:val="clear" w:color="auto" w:fill="auto"/>
                          </w:tcPr>
                          <w:p w14:paraId="2BB00D2A" w14:textId="612C839B" w:rsidR="00CA44FB" w:rsidRPr="00790B90" w:rsidRDefault="00CA44FB" w:rsidP="00F26250">
                            <w:pPr>
                              <w:pStyle w:val="KIIDtext1"/>
                              <w:autoSpaceDE w:val="0"/>
                              <w:autoSpaceDN w:val="0"/>
                              <w:adjustRightInd w:val="0"/>
                              <w:spacing w:after="80" w:line="200" w:lineRule="exact"/>
                              <w:rPr>
                                <w:rFonts w:cs="Arial"/>
                                <w:sz w:val="14"/>
                                <w:szCs w:val="14"/>
                              </w:rPr>
                            </w:pPr>
                            <w:r w:rsidRPr="00790B90">
                              <w:rPr>
                                <w:sz w:val="14"/>
                                <w:szCs w:val="14"/>
                              </w:rPr>
                              <w:t>Beim Ausgabeaufschlag handelt es sich um den Höchstbetrag, der von Ihrem Geld vor der Anlage abgezogen wird.</w:t>
                            </w:r>
                          </w:p>
                        </w:tc>
                      </w:tr>
                      <w:tr w:rsidR="00CA44FB" w14:paraId="3DE3479F" w14:textId="77777777" w:rsidTr="00547654">
                        <w:trPr>
                          <w:trHeight w:val="283"/>
                        </w:trPr>
                        <w:tc>
                          <w:tcPr>
                            <w:tcW w:w="5045" w:type="dxa"/>
                            <w:gridSpan w:val="6"/>
                            <w:shd w:val="clear" w:color="auto" w:fill="006747"/>
                          </w:tcPr>
                          <w:p w14:paraId="40454E8D" w14:textId="77777777" w:rsidR="00CA44FB" w:rsidRPr="00790B90" w:rsidRDefault="00CA44FB" w:rsidP="00547654">
                            <w:pPr>
                              <w:pStyle w:val="KIIDtext1"/>
                              <w:autoSpaceDE w:val="0"/>
                              <w:autoSpaceDN w:val="0"/>
                              <w:adjustRightInd w:val="0"/>
                              <w:spacing w:after="0" w:line="200" w:lineRule="exact"/>
                              <w:rPr>
                                <w:rFonts w:cs="Arial"/>
                                <w:b/>
                                <w:color w:val="FFFFFF"/>
                                <w:sz w:val="14"/>
                                <w:szCs w:val="14"/>
                              </w:rPr>
                            </w:pPr>
                            <w:r w:rsidRPr="00790B90">
                              <w:rPr>
                                <w:b/>
                                <w:color w:val="FFFFFF"/>
                                <w:sz w:val="14"/>
                                <w:szCs w:val="14"/>
                              </w:rPr>
                              <w:t>Kosten, die vom Fonds im Laufe des Jahres abgezogen werden</w:t>
                            </w:r>
                          </w:p>
                        </w:tc>
                      </w:tr>
                      <w:tr w:rsidR="00CA44FB" w14:paraId="1392D75E" w14:textId="77777777" w:rsidTr="00547654">
                        <w:tc>
                          <w:tcPr>
                            <w:tcW w:w="2426" w:type="dxa"/>
                            <w:gridSpan w:val="3"/>
                            <w:tcBorders>
                              <w:bottom w:val="single" w:sz="8" w:space="0" w:color="CCE1DA"/>
                            </w:tcBorders>
                            <w:shd w:val="clear" w:color="auto" w:fill="CCE1DA"/>
                          </w:tcPr>
                          <w:p w14:paraId="533F74C7" w14:textId="77777777" w:rsidR="00CA44FB" w:rsidRPr="00790B90" w:rsidRDefault="00CA44FB" w:rsidP="00547654">
                            <w:pPr>
                              <w:pStyle w:val="KIIDtext1"/>
                              <w:autoSpaceDE w:val="0"/>
                              <w:autoSpaceDN w:val="0"/>
                              <w:adjustRightInd w:val="0"/>
                              <w:spacing w:line="200" w:lineRule="exact"/>
                              <w:rPr>
                                <w:rFonts w:cs="Arial"/>
                                <w:color w:val="006747"/>
                                <w:sz w:val="14"/>
                                <w:szCs w:val="14"/>
                              </w:rPr>
                            </w:pPr>
                            <w:r w:rsidRPr="00790B90">
                              <w:rPr>
                                <w:b/>
                                <w:color w:val="006747"/>
                                <w:sz w:val="14"/>
                                <w:szCs w:val="14"/>
                              </w:rPr>
                              <w:t>Laufende Kosten</w:t>
                            </w:r>
                          </w:p>
                        </w:tc>
                        <w:tc>
                          <w:tcPr>
                            <w:tcW w:w="2619" w:type="dxa"/>
                            <w:gridSpan w:val="3"/>
                            <w:tcBorders>
                              <w:bottom w:val="single" w:sz="8" w:space="0" w:color="CCE1DA"/>
                              <w:right w:val="single" w:sz="8" w:space="0" w:color="CCE1DA"/>
                            </w:tcBorders>
                            <w:shd w:val="clear" w:color="auto" w:fill="auto"/>
                          </w:tcPr>
                          <w:p w14:paraId="446FE436" w14:textId="67C3B09E" w:rsidR="00CA44FB" w:rsidRPr="00790B90" w:rsidRDefault="00D04B68" w:rsidP="00260AA8">
                            <w:pPr>
                              <w:pStyle w:val="KIIDtext1"/>
                              <w:autoSpaceDE w:val="0"/>
                              <w:autoSpaceDN w:val="0"/>
                              <w:adjustRightInd w:val="0"/>
                              <w:spacing w:line="200" w:lineRule="exact"/>
                              <w:rPr>
                                <w:rFonts w:cs="Arial"/>
                                <w:b/>
                                <w:sz w:val="14"/>
                                <w:szCs w:val="14"/>
                              </w:rPr>
                            </w:pPr>
                            <w:r>
                              <w:rPr>
                                <w:sz w:val="14"/>
                                <w:szCs w:val="14"/>
                              </w:rPr>
                              <w:t>1,9</w:t>
                            </w:r>
                            <w:r w:rsidR="00CA44FB" w:rsidRPr="00790B90">
                              <w:rPr>
                                <w:sz w:val="14"/>
                                <w:szCs w:val="14"/>
                              </w:rPr>
                              <w:t>3%</w:t>
                            </w:r>
                          </w:p>
                        </w:tc>
                      </w:tr>
                      <w:tr w:rsidR="00CA44FB" w14:paraId="473D24F6" w14:textId="77777777" w:rsidTr="00547654">
                        <w:trPr>
                          <w:trHeight w:val="283"/>
                        </w:trPr>
                        <w:tc>
                          <w:tcPr>
                            <w:tcW w:w="5045" w:type="dxa"/>
                            <w:gridSpan w:val="6"/>
                            <w:shd w:val="clear" w:color="auto" w:fill="006747"/>
                          </w:tcPr>
                          <w:p w14:paraId="39E2A768" w14:textId="77777777" w:rsidR="00CA44FB" w:rsidRPr="00790B90" w:rsidRDefault="00CA44FB" w:rsidP="00547654">
                            <w:pPr>
                              <w:pStyle w:val="KIIDtext1"/>
                              <w:autoSpaceDE w:val="0"/>
                              <w:autoSpaceDN w:val="0"/>
                              <w:adjustRightInd w:val="0"/>
                              <w:spacing w:after="0" w:line="200" w:lineRule="exact"/>
                              <w:rPr>
                                <w:rFonts w:cs="Arial"/>
                                <w:b/>
                                <w:color w:val="FFFFFF"/>
                                <w:spacing w:val="-2"/>
                                <w:sz w:val="14"/>
                                <w:szCs w:val="14"/>
                              </w:rPr>
                            </w:pPr>
                            <w:r w:rsidRPr="00790B90">
                              <w:rPr>
                                <w:b/>
                                <w:color w:val="FFFFFF"/>
                                <w:sz w:val="14"/>
                                <w:szCs w:val="14"/>
                              </w:rPr>
                              <w:t>Kosten, die vom Fonds unter bestimmten Umständen zu zahlen sind</w:t>
                            </w:r>
                          </w:p>
                        </w:tc>
                      </w:tr>
                      <w:tr w:rsidR="00CA44FB" w14:paraId="235B34B0" w14:textId="77777777" w:rsidTr="00547654">
                        <w:tc>
                          <w:tcPr>
                            <w:tcW w:w="2426" w:type="dxa"/>
                            <w:gridSpan w:val="3"/>
                            <w:tcBorders>
                              <w:bottom w:val="single" w:sz="8" w:space="0" w:color="CCE1DA"/>
                            </w:tcBorders>
                            <w:shd w:val="clear" w:color="auto" w:fill="CCE1DA"/>
                            <w:vAlign w:val="center"/>
                          </w:tcPr>
                          <w:p w14:paraId="0FBFC597" w14:textId="77777777" w:rsidR="00CA44FB" w:rsidRPr="000D0763" w:rsidRDefault="00CA44FB" w:rsidP="00547654">
                            <w:pPr>
                              <w:pStyle w:val="KIIDtext1"/>
                              <w:autoSpaceDE w:val="0"/>
                              <w:autoSpaceDN w:val="0"/>
                              <w:adjustRightInd w:val="0"/>
                              <w:rPr>
                                <w:rFonts w:cs="Arial"/>
                                <w:b/>
                                <w:color w:val="006747"/>
                                <w:sz w:val="15"/>
                                <w:szCs w:val="15"/>
                              </w:rPr>
                            </w:pPr>
                            <w:r w:rsidRPr="000D0763">
                              <w:rPr>
                                <w:b/>
                                <w:color w:val="006747"/>
                                <w:sz w:val="15"/>
                                <w:szCs w:val="15"/>
                              </w:rPr>
                              <w:t>An die Wertentwicklung gebundene Gebühren</w:t>
                            </w:r>
                          </w:p>
                        </w:tc>
                        <w:tc>
                          <w:tcPr>
                            <w:tcW w:w="2619" w:type="dxa"/>
                            <w:gridSpan w:val="3"/>
                            <w:tcBorders>
                              <w:bottom w:val="single" w:sz="8" w:space="0" w:color="CCE1DA"/>
                              <w:right w:val="single" w:sz="8" w:space="0" w:color="CCE1DA"/>
                            </w:tcBorders>
                            <w:shd w:val="clear" w:color="auto" w:fill="auto"/>
                            <w:vAlign w:val="center"/>
                          </w:tcPr>
                          <w:p w14:paraId="5BB6228D" w14:textId="2EFADDEB" w:rsidR="00CA44FB" w:rsidRPr="00BF2182" w:rsidRDefault="00CA44FB" w:rsidP="00547654">
                            <w:pPr>
                              <w:pStyle w:val="KIIDtext1"/>
                              <w:autoSpaceDE w:val="0"/>
                              <w:autoSpaceDN w:val="0"/>
                              <w:adjustRightInd w:val="0"/>
                              <w:spacing w:line="200" w:lineRule="exact"/>
                              <w:rPr>
                                <w:rFonts w:cs="Arial"/>
                                <w:sz w:val="14"/>
                                <w:szCs w:val="14"/>
                              </w:rPr>
                            </w:pPr>
                            <w:r w:rsidRPr="00BF2182">
                              <w:rPr>
                                <w:sz w:val="14"/>
                                <w:szCs w:val="14"/>
                              </w:rPr>
                              <w:t>10 % über einem Schwellenwert („High-Water Mark“)</w:t>
                            </w:r>
                          </w:p>
                          <w:p w14:paraId="4B0BEBA0" w14:textId="00489880" w:rsidR="00CA44FB" w:rsidRPr="00BF2182" w:rsidRDefault="00CA44FB" w:rsidP="00D04B68">
                            <w:pPr>
                              <w:pStyle w:val="KIIDtext1"/>
                              <w:autoSpaceDE w:val="0"/>
                              <w:autoSpaceDN w:val="0"/>
                              <w:adjustRightInd w:val="0"/>
                              <w:spacing w:line="200" w:lineRule="exact"/>
                              <w:rPr>
                                <w:rFonts w:cs="Arial"/>
                                <w:sz w:val="12"/>
                                <w:szCs w:val="12"/>
                              </w:rPr>
                            </w:pPr>
                            <w:r w:rsidRPr="00BF2182">
                              <w:rPr>
                                <w:sz w:val="12"/>
                                <w:szCs w:val="12"/>
                              </w:rPr>
                              <w:t>Schwelle</w:t>
                            </w:r>
                            <w:r w:rsidR="00D04B68">
                              <w:rPr>
                                <w:sz w:val="12"/>
                                <w:szCs w:val="12"/>
                              </w:rPr>
                              <w:t>: SONIA GBP für C2-GBP-Anteile</w:t>
                            </w:r>
                          </w:p>
                        </w:tc>
                      </w:tr>
                    </w:tbl>
                    <w:p w14:paraId="265DD3B0" w14:textId="5766966C" w:rsidR="00CA44FB" w:rsidRPr="00F26250" w:rsidRDefault="00CA44FB" w:rsidP="00C5682E">
                      <w:pPr>
                        <w:spacing w:after="180" w:line="190" w:lineRule="exact"/>
                        <w:rPr>
                          <w:color w:val="767171" w:themeColor="background2" w:themeShade="80"/>
                          <w:sz w:val="15"/>
                          <w:szCs w:val="15"/>
                        </w:rPr>
                      </w:pPr>
                      <w:r w:rsidRPr="00F26250">
                        <w:rPr>
                          <w:color w:val="767171" w:themeColor="background2" w:themeShade="80"/>
                          <w:sz w:val="15"/>
                          <w:szCs w:val="15"/>
                        </w:rPr>
                        <w:t>Die von Ihnen getragenen betrieblichen Kosten werden auf die Funktionsweise des Fonds verwendet, einschließlich der Vermarktung und des Vertriebs der Fondsanteile. Diese Kosten beschränken das potenzielle Wachstum Ihrer Anlage.</w:t>
                      </w:r>
                    </w:p>
                    <w:p w14:paraId="49F259AB" w14:textId="3CB864EC" w:rsidR="00CA44FB" w:rsidRPr="00EC7D6F" w:rsidRDefault="00CA44FB" w:rsidP="00547654">
                      <w:pPr>
                        <w:rPr>
                          <w:sz w:val="17"/>
                          <w:szCs w:val="17"/>
                        </w:rPr>
                      </w:pPr>
                    </w:p>
                  </w:txbxContent>
                </v:textbox>
              </v:rect>
            </w:pict>
          </mc:Fallback>
        </mc:AlternateContent>
      </w:r>
      <w:r w:rsidR="009A07BE">
        <w:rPr>
          <w:noProof/>
          <w:lang w:eastAsia="ja-JP"/>
        </w:rPr>
        <mc:AlternateContent>
          <mc:Choice Requires="wps">
            <w:drawing>
              <wp:anchor distT="0" distB="0" distL="114300" distR="114300" simplePos="0" relativeHeight="251674624" behindDoc="0" locked="0" layoutInCell="1" allowOverlap="1" wp14:anchorId="18404AF7" wp14:editId="47F75877">
                <wp:simplePos x="0" y="0"/>
                <wp:positionH relativeFrom="column">
                  <wp:posOffset>-474345</wp:posOffset>
                </wp:positionH>
                <wp:positionV relativeFrom="paragraph">
                  <wp:posOffset>-348615</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CA44FB" w:rsidRPr="006F31C1" w:rsidRDefault="00CA44FB"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37.35pt;margin-top:-27.45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" stroked="f">
                <v:textbox>
                  <w:txbxContent>
                    <w:p w14:paraId="6806782D" w14:textId="77777777" w:rsidR="00CA44FB" w:rsidRPr="006F31C1" w:rsidRDefault="00CA44FB" w:rsidP="005B6E23">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Kosten dieses Fonds</w:t>
                      </w:r>
                    </w:p>
                  </w:txbxContent>
                </v:textbox>
              </v:shape>
            </w:pict>
          </mc:Fallback>
        </mc:AlternateContent>
      </w:r>
      <w:r w:rsidR="00790B90">
        <w:rPr>
          <w:noProof/>
          <w:lang w:eastAsia="ja-JP"/>
        </w:rPr>
        <mc:AlternateContent>
          <mc:Choice Requires="wps">
            <w:drawing>
              <wp:anchor distT="0" distB="0" distL="114300" distR="114300" simplePos="0" relativeHeight="251658239" behindDoc="0" locked="0" layoutInCell="1" allowOverlap="1" wp14:anchorId="314135DF" wp14:editId="3A81FC30">
                <wp:simplePos x="0" y="0"/>
                <wp:positionH relativeFrom="column">
                  <wp:posOffset>-419100</wp:posOffset>
                </wp:positionH>
                <wp:positionV relativeFrom="paragraph">
                  <wp:posOffset>-171450</wp:posOffset>
                </wp:positionV>
                <wp:extent cx="3394710" cy="2520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520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CA44FB" w:rsidRPr="00790B90" w:rsidRDefault="00CA44FB"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CA44FB" w:rsidRPr="00BF2182" w:rsidRDefault="00CA44FB"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CA44FB" w:rsidRPr="00BF2182" w:rsidRDefault="00CA44FB"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CA44FB" w:rsidRPr="00790B90" w:rsidRDefault="00CA44FB" w:rsidP="00EC7D6F">
                            <w:pPr>
                              <w:pStyle w:val="KIIDtext1"/>
                              <w:rPr>
                                <w:sz w:val="16"/>
                                <w:szCs w:val="16"/>
                              </w:rPr>
                            </w:pPr>
                            <w:r w:rsidRPr="00BF2182">
                              <w:rPr>
                                <w:sz w:val="16"/>
                                <w:szCs w:val="16"/>
                              </w:rPr>
                              <w:t>Vollständige Angaben zu den für den Fonds anfallenden Kosten finden Sie im Abschnitt „Gebühren und Kosten“ im Prospekt und in der fondsspezifischen Ergänzung.</w:t>
                            </w:r>
                            <w:r w:rsidRPr="00790B90">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33pt;margin-top:-13.5pt;width:267.3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xQ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" stroked="f">
                <v:textbox>
                  <w:txbxContent>
                    <w:p w14:paraId="08E2E970" w14:textId="0B5D3364" w:rsidR="00CA44FB" w:rsidRPr="00790B90" w:rsidRDefault="00CA44FB" w:rsidP="00A545B1">
                      <w:pPr>
                        <w:pStyle w:val="KIIDtext1"/>
                        <w:rPr>
                          <w:rFonts w:cs="Arial"/>
                          <w:sz w:val="16"/>
                          <w:szCs w:val="16"/>
                        </w:rPr>
                      </w:pPr>
                      <w:r w:rsidRPr="00790B90">
                        <w:rPr>
                          <w:sz w:val="16"/>
                          <w:szCs w:val="16"/>
                        </w:rPr>
                        <w:t>Der angegebene Ausgabeaufschlag ist ein Höchstbetrag. In einigen Fällen zahlen Sie eventuell weniger – Ihr Finanzberater kann Ihnen sagen, ob dies der Fall sein kann.</w:t>
                      </w:r>
                    </w:p>
                    <w:p w14:paraId="4DAAD2B9" w14:textId="15334360" w:rsidR="00CA44FB" w:rsidRPr="00BF2182" w:rsidRDefault="00CA44FB" w:rsidP="005D031A">
                      <w:pPr>
                        <w:pStyle w:val="KIIDtext1"/>
                        <w:rPr>
                          <w:rFonts w:cs="Arial"/>
                          <w:sz w:val="16"/>
                          <w:szCs w:val="16"/>
                        </w:rPr>
                      </w:pPr>
                      <w:r w:rsidRPr="00790B90">
                        <w:rPr>
                          <w:sz w:val="16"/>
                          <w:szCs w:val="16"/>
                        </w:rPr>
                        <w:t xml:space="preserve">Die Angabe der laufenden Kosten beruhen auf den Höchstkosten des am 31. Dezember 2021 abgelaufenen Geschäftsjahres auf der Basis des </w:t>
                      </w:r>
                      <w:r w:rsidRPr="00BF2182">
                        <w:rPr>
                          <w:sz w:val="16"/>
                          <w:szCs w:val="16"/>
                        </w:rPr>
                        <w:t>früheren Salar-Fondskonstrukts.  Dieser Wert kann von Jahr zu Jahr schwanken. Nicht enthalten sind:</w:t>
                      </w:r>
                    </w:p>
                    <w:p w14:paraId="2C15737C" w14:textId="29C403B5" w:rsidR="00CA44FB" w:rsidRPr="00BF2182" w:rsidRDefault="00CA44FB" w:rsidP="00EC7D6F">
                      <w:pPr>
                        <w:pStyle w:val="KIIDtext1"/>
                        <w:rPr>
                          <w:rFonts w:cs="Arial"/>
                          <w:sz w:val="16"/>
                          <w:szCs w:val="16"/>
                        </w:rPr>
                      </w:pPr>
                      <w:r w:rsidRPr="00BF2182">
                        <w:rPr>
                          <w:sz w:val="16"/>
                          <w:szCs w:val="16"/>
                        </w:rPr>
                        <w:t xml:space="preserve">An die Wertentwicklung gebundene Gebühren: 10 % der Wertentwicklung des Fonds, die über einer währungsspezifischen Schwelle („Hurdle Rate“ – siehe Tabelle) liegt und täglich berechnet wird. </w:t>
                      </w:r>
                    </w:p>
                    <w:p w14:paraId="452EE53E" w14:textId="28D736F5" w:rsidR="00CA44FB" w:rsidRPr="00790B90" w:rsidRDefault="00CA44FB" w:rsidP="00EC7D6F">
                      <w:pPr>
                        <w:pStyle w:val="KIIDtext1"/>
                        <w:rPr>
                          <w:sz w:val="16"/>
                          <w:szCs w:val="16"/>
                        </w:rPr>
                      </w:pPr>
                      <w:r w:rsidRPr="00BF2182">
                        <w:rPr>
                          <w:sz w:val="16"/>
                          <w:szCs w:val="16"/>
                        </w:rPr>
                        <w:t>Vollständige Angaben zu den für den Fonds anfallenden Kosten finden Sie im Abschnitt „Gebühren und Kosten“ im Prospekt und in der fondsspezifischen Ergänzung.</w:t>
                      </w:r>
                      <w:r w:rsidRPr="00790B90">
                        <w:rPr>
                          <w:sz w:val="16"/>
                          <w:szCs w:val="16"/>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4F87830F" w:rsidR="00CB0F6B" w:rsidRDefault="00D04B68">
      <w:pPr>
        <w:widowControl/>
        <w:spacing w:after="160" w:line="259" w:lineRule="auto"/>
        <w:jc w:val="left"/>
      </w:pPr>
      <w:r>
        <w:rPr>
          <w:noProof/>
          <w:lang w:eastAsia="ja-JP"/>
        </w:rPr>
        <mc:AlternateContent>
          <mc:Choice Requires="wps">
            <w:drawing>
              <wp:anchor distT="0" distB="0" distL="114300" distR="114300" simplePos="0" relativeHeight="251682816" behindDoc="0" locked="0" layoutInCell="1" allowOverlap="1" wp14:anchorId="0E57E85D" wp14:editId="3130ECD7">
                <wp:simplePos x="0" y="0"/>
                <wp:positionH relativeFrom="column">
                  <wp:posOffset>-466725</wp:posOffset>
                </wp:positionH>
                <wp:positionV relativeFrom="paragraph">
                  <wp:posOffset>311150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CA44FB" w:rsidRPr="006F31C1" w:rsidRDefault="00CA44FB"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36.75pt;margin-top:24.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" stroked="f">
                <v:textbox>
                  <w:txbxContent>
                    <w:p w14:paraId="790DA84A" w14:textId="77777777" w:rsidR="00CA44FB" w:rsidRPr="006F31C1" w:rsidRDefault="00CA44FB" w:rsidP="00547654">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Frühere Wertentwicklung</w:t>
                      </w:r>
                    </w:p>
                  </w:txbxContent>
                </v:textbox>
              </v:shape>
            </w:pict>
          </mc:Fallback>
        </mc:AlternateContent>
      </w:r>
      <w:r>
        <w:rPr>
          <w:noProof/>
          <w:color w:val="000000"/>
          <w:lang w:eastAsia="ja-JP"/>
        </w:rPr>
        <mc:AlternateContent>
          <mc:Choice Requires="wps">
            <w:drawing>
              <wp:anchor distT="0" distB="0" distL="114300" distR="114300" simplePos="0" relativeHeight="251680768" behindDoc="0" locked="0" layoutInCell="1" allowOverlap="1" wp14:anchorId="2ED6B05F" wp14:editId="7775B0A1">
                <wp:simplePos x="0" y="0"/>
                <wp:positionH relativeFrom="margin">
                  <wp:posOffset>-477520</wp:posOffset>
                </wp:positionH>
                <wp:positionV relativeFrom="paragraph">
                  <wp:posOffset>268605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EFF6E" id="_x0000_t32" coordsize="21600,21600" o:spt="32" o:oned="t" path="m,l21600,21600e" filled="f">
                <v:path arrowok="t" fillok="f" o:connecttype="none"/>
                <o:lock v:ext="edit" shapetype="t"/>
              </v:shapetype>
              <v:shape id="AutoShape 129" o:spid="_x0000_s1026" type="#_x0000_t32" style="position:absolute;margin-left:-37.6pt;margin-top:21.1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" strokecolor="#006747">
                <w10:wrap anchorx="margin"/>
              </v:shape>
            </w:pict>
          </mc:Fallback>
        </mc:AlternateContent>
      </w:r>
    </w:p>
    <w:p w14:paraId="69D20D1C" w14:textId="027EA4DE" w:rsidR="00F631E3" w:rsidRDefault="00F631E3">
      <w:pPr>
        <w:widowControl/>
        <w:spacing w:after="160" w:line="259" w:lineRule="auto"/>
        <w:jc w:val="left"/>
      </w:pPr>
    </w:p>
    <w:p w14:paraId="4FE81C06" w14:textId="7EF24AA2" w:rsidR="009813A8" w:rsidRDefault="00D04B68">
      <w:pPr>
        <w:widowControl/>
        <w:spacing w:after="160" w:line="259" w:lineRule="auto"/>
        <w:jc w:val="left"/>
      </w:pPr>
      <w:r>
        <w:rPr>
          <w:noProof/>
          <w:lang w:eastAsia="ja-JP"/>
        </w:rPr>
        <w:drawing>
          <wp:anchor distT="0" distB="0" distL="114300" distR="114300" simplePos="0" relativeHeight="251711488" behindDoc="0" locked="0" layoutInCell="1" allowOverlap="1" wp14:anchorId="43918395" wp14:editId="5DC68EFD">
            <wp:simplePos x="0" y="0"/>
            <wp:positionH relativeFrom="column">
              <wp:posOffset>66675</wp:posOffset>
            </wp:positionH>
            <wp:positionV relativeFrom="paragraph">
              <wp:posOffset>46355</wp:posOffset>
            </wp:positionV>
            <wp:extent cx="2656840" cy="15805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56840" cy="1580515"/>
                    </a:xfrm>
                    <a:prstGeom prst="rect">
                      <a:avLst/>
                    </a:prstGeom>
                  </pic:spPr>
                </pic:pic>
              </a:graphicData>
            </a:graphic>
            <wp14:sizeRelH relativeFrom="page">
              <wp14:pctWidth>0</wp14:pctWidth>
            </wp14:sizeRelH>
            <wp14:sizeRelV relativeFrom="page">
              <wp14:pctHeight>0</wp14:pctHeight>
            </wp14:sizeRelV>
          </wp:anchor>
        </w:drawing>
      </w:r>
    </w:p>
    <w:p w14:paraId="7D153BAF" w14:textId="0ADA977D" w:rsidR="00D91E47" w:rsidRDefault="007F4CBB" w:rsidP="009813A8">
      <w:pPr>
        <w:widowControl/>
        <w:spacing w:after="160" w:line="259" w:lineRule="auto"/>
      </w:pPr>
      <w:r>
        <w:t xml:space="preserve">  </w:t>
      </w:r>
    </w:p>
    <w:p w14:paraId="2FDBC5E8" w14:textId="261CFEEF" w:rsidR="00D91E47" w:rsidRDefault="00D91E47">
      <w:pPr>
        <w:widowControl/>
        <w:spacing w:after="160" w:line="259" w:lineRule="auto"/>
        <w:jc w:val="left"/>
      </w:pPr>
    </w:p>
    <w:p w14:paraId="71E618D1" w14:textId="77777777" w:rsidR="006C68EB" w:rsidRDefault="006C68EB">
      <w:pPr>
        <w:widowControl/>
        <w:spacing w:after="160" w:line="259" w:lineRule="auto"/>
        <w:jc w:val="left"/>
      </w:pPr>
    </w:p>
    <w:p w14:paraId="3182067E" w14:textId="77777777" w:rsidR="006C68EB" w:rsidRDefault="006C68EB">
      <w:pPr>
        <w:widowControl/>
        <w:spacing w:after="160" w:line="259" w:lineRule="auto"/>
        <w:jc w:val="left"/>
      </w:pPr>
    </w:p>
    <w:p w14:paraId="643FD77A" w14:textId="34606543" w:rsidR="006C68EB" w:rsidRDefault="006C68EB">
      <w:pPr>
        <w:widowControl/>
        <w:spacing w:after="160" w:line="259" w:lineRule="auto"/>
        <w:jc w:val="left"/>
      </w:pPr>
    </w:p>
    <w:p w14:paraId="003A5D02" w14:textId="71197F26" w:rsidR="006C68EB" w:rsidRDefault="00D04B68">
      <w:pPr>
        <w:widowControl/>
        <w:spacing w:after="160" w:line="259" w:lineRule="auto"/>
        <w:jc w:val="left"/>
      </w:pPr>
      <w:r>
        <w:rPr>
          <w:noProof/>
          <w:lang w:eastAsia="ja-JP"/>
        </w:rPr>
        <mc:AlternateContent>
          <mc:Choice Requires="wps">
            <w:drawing>
              <wp:anchor distT="0" distB="0" distL="114300" distR="114300" simplePos="0" relativeHeight="251657214" behindDoc="0" locked="0" layoutInCell="1" allowOverlap="1" wp14:anchorId="652E6D33" wp14:editId="72C9B761">
                <wp:simplePos x="0" y="0"/>
                <wp:positionH relativeFrom="column">
                  <wp:posOffset>-466725</wp:posOffset>
                </wp:positionH>
                <wp:positionV relativeFrom="paragraph">
                  <wp:posOffset>100965</wp:posOffset>
                </wp:positionV>
                <wp:extent cx="6962775" cy="53340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16944FB8" w:rsidR="00CA44FB" w:rsidRPr="000D0763" w:rsidRDefault="00CA44FB" w:rsidP="00D04B68">
                            <w:pPr>
                              <w:pStyle w:val="KIIDtext1"/>
                              <w:spacing w:line="240" w:lineRule="auto"/>
                              <w:jc w:val="both"/>
                              <w:rPr>
                                <w:rFonts w:ascii="ArialMT" w:eastAsiaTheme="minorHAnsi" w:hAnsi="ArialMT" w:cs="ArialMT"/>
                                <w:sz w:val="15"/>
                                <w:szCs w:val="15"/>
                              </w:rPr>
                            </w:pPr>
                            <w:bookmarkStart w:id="0" w:name="_Hlk106031432"/>
                            <w:bookmarkStart w:id="1" w:name="_Hlk106031433"/>
                            <w:bookmarkStart w:id="2" w:name="_Hlk106031434"/>
                            <w:bookmarkStart w:id="3" w:name="_Hlk106031435"/>
                            <w:r w:rsidRPr="000D0763">
                              <w:rPr>
                                <w:rFonts w:ascii="ArialMT" w:hAnsi="ArialMT"/>
                                <w:sz w:val="15"/>
                                <w:szCs w:val="15"/>
                              </w:rPr>
                              <w:t>Die in den Charts dargestellten prozentualen Wertentwicklungen berücksichtigen sämtliche den Klasse-</w:t>
                            </w:r>
                            <w:r w:rsidR="00D04B68">
                              <w:rPr>
                                <w:rFonts w:ascii="ArialMT" w:hAnsi="ArialMT"/>
                                <w:sz w:val="15"/>
                                <w:szCs w:val="15"/>
                              </w:rPr>
                              <w:t>C2</w:t>
                            </w:r>
                            <w:r w:rsidRPr="000D0763">
                              <w:rPr>
                                <w:rFonts w:ascii="ArialMT" w:hAnsi="ArialMT"/>
                                <w:sz w:val="15"/>
                                <w:szCs w:val="15"/>
                              </w:rPr>
                              <w:t>-Anteilen</w:t>
                            </w:r>
                            <w:r w:rsidR="00D04B68" w:rsidRPr="00D04B68">
                              <w:t xml:space="preserve"> </w:t>
                            </w:r>
                            <w:r w:rsidR="00D04B68">
                              <w:t>(</w:t>
                            </w:r>
                            <w:r w:rsidR="00D04B68" w:rsidRPr="00D04B68">
                              <w:rPr>
                                <w:rFonts w:ascii="ArialMT" w:hAnsi="ArialMT"/>
                                <w:sz w:val="15"/>
                                <w:szCs w:val="15"/>
                              </w:rPr>
                              <w:t>thesaurierend</w:t>
                            </w:r>
                            <w:r w:rsidR="00D04B68">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0"/>
                          <w:bookmarkEnd w:id="1"/>
                          <w:bookmarkEnd w:id="2"/>
                          <w:bookmarkEnd w:i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margin-left:-36.75pt;margin-top:7.95pt;width:548.25pt;height:4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5thgIAABg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" stroked="f">
                <v:textbox>
                  <w:txbxContent>
                    <w:p w14:paraId="18760CF8" w14:textId="16944FB8" w:rsidR="00CA44FB" w:rsidRPr="000D0763" w:rsidRDefault="00CA44FB" w:rsidP="00D04B68">
                      <w:pPr>
                        <w:pStyle w:val="KIIDtext1"/>
                        <w:spacing w:line="240" w:lineRule="auto"/>
                        <w:jc w:val="both"/>
                        <w:rPr>
                          <w:rFonts w:ascii="ArialMT" w:eastAsiaTheme="minorHAnsi" w:hAnsi="ArialMT" w:cs="ArialMT"/>
                          <w:sz w:val="15"/>
                          <w:szCs w:val="15"/>
                        </w:rPr>
                      </w:pPr>
                      <w:bookmarkStart w:id="6" w:name="_Hlk106031432"/>
                      <w:bookmarkStart w:id="7" w:name="_Hlk106031433"/>
                      <w:bookmarkStart w:id="8" w:name="_Hlk106031434"/>
                      <w:bookmarkStart w:id="9" w:name="_Hlk106031435"/>
                      <w:r w:rsidRPr="000D0763">
                        <w:rPr>
                          <w:rFonts w:ascii="ArialMT" w:hAnsi="ArialMT"/>
                          <w:sz w:val="15"/>
                          <w:szCs w:val="15"/>
                        </w:rPr>
                        <w:t xml:space="preserve">Die in den Charts dargestellten prozentualen Wertentwicklungen </w:t>
                      </w:r>
                      <w:r w:rsidRPr="000D0763">
                        <w:rPr>
                          <w:rFonts w:ascii="ArialMT" w:hAnsi="ArialMT"/>
                          <w:sz w:val="15"/>
                          <w:szCs w:val="15"/>
                        </w:rPr>
                        <w:t>berücksichtigen sämtliche den Klasse-</w:t>
                      </w:r>
                      <w:r w:rsidR="00D04B68">
                        <w:rPr>
                          <w:rFonts w:ascii="ArialMT" w:hAnsi="ArialMT"/>
                          <w:sz w:val="15"/>
                          <w:szCs w:val="15"/>
                        </w:rPr>
                        <w:t>C2</w:t>
                      </w:r>
                      <w:r w:rsidRPr="000D0763">
                        <w:rPr>
                          <w:rFonts w:ascii="ArialMT" w:hAnsi="ArialMT"/>
                          <w:sz w:val="15"/>
                          <w:szCs w:val="15"/>
                        </w:rPr>
                        <w:t>-Anteilen</w:t>
                      </w:r>
                      <w:r w:rsidR="00D04B68" w:rsidRPr="00D04B68">
                        <w:t xml:space="preserve"> </w:t>
                      </w:r>
                      <w:r w:rsidR="00D04B68">
                        <w:t>(</w:t>
                      </w:r>
                      <w:r w:rsidR="00D04B68" w:rsidRPr="00D04B68">
                        <w:rPr>
                          <w:rFonts w:ascii="ArialMT" w:hAnsi="ArialMT"/>
                          <w:sz w:val="15"/>
                          <w:szCs w:val="15"/>
                        </w:rPr>
                        <w:t>thesaurierend</w:t>
                      </w:r>
                      <w:r w:rsidR="00D04B68">
                        <w:rPr>
                          <w:rFonts w:ascii="ArialMT" w:hAnsi="ArialMT"/>
                          <w:sz w:val="15"/>
                          <w:szCs w:val="15"/>
                        </w:rPr>
                        <w:t xml:space="preserve">) </w:t>
                      </w:r>
                      <w:r w:rsidRPr="000D0763">
                        <w:rPr>
                          <w:rFonts w:ascii="ArialMT" w:hAnsi="ArialMT"/>
                          <w:sz w:val="15"/>
                          <w:szCs w:val="15"/>
                        </w:rPr>
                        <w:t>des Fonds entstandenen Betriebs- und Verwaltungsgebühren. Die frühere Wertentwicklung ist nicht unbedingt ein Hinweis auf künftige Ergebnisse. Kurse und Preise können schwanken und Sie erhalten womöglich Ihre ursprüngliche Anlage nicht zurück. Da es sich hier um eine neu aufgelegte übernehmende Gestaltung aus der Verschmelzung eines früheren OGAW-Fonds handelt, entspricht die frühere Wertentwicklung der Wertentwicklung des Salar Fund PLC.</w:t>
                      </w:r>
                    </w:p>
                    <w:bookmarkEnd w:id="6"/>
                    <w:bookmarkEnd w:id="7"/>
                    <w:bookmarkEnd w:id="8"/>
                    <w:bookmarkEnd w:id="9"/>
                  </w:txbxContent>
                </v:textbox>
              </v:shape>
            </w:pict>
          </mc:Fallback>
        </mc:AlternateContent>
      </w:r>
    </w:p>
    <w:p w14:paraId="5A0EC89A" w14:textId="77777777" w:rsidR="006C68EB" w:rsidRDefault="006C68EB">
      <w:pPr>
        <w:widowControl/>
        <w:spacing w:after="160" w:line="259" w:lineRule="auto"/>
        <w:jc w:val="left"/>
      </w:pPr>
    </w:p>
    <w:p w14:paraId="59D3C0D3" w14:textId="2B994963" w:rsidR="00D91E47" w:rsidRDefault="00824542">
      <w:pPr>
        <w:widowControl/>
        <w:spacing w:after="160" w:line="259" w:lineRule="auto"/>
        <w:jc w:val="left"/>
      </w:pPr>
      <w:r>
        <w:rPr>
          <w:noProof/>
          <w:lang w:eastAsia="ja-JP"/>
        </w:rPr>
        <mc:AlternateContent>
          <mc:Choice Requires="wps">
            <w:drawing>
              <wp:anchor distT="0" distB="0" distL="114300" distR="114300" simplePos="0" relativeHeight="251691008" behindDoc="0" locked="0" layoutInCell="1" allowOverlap="1" wp14:anchorId="433AE50E" wp14:editId="546FAC9D">
                <wp:simplePos x="0" y="0"/>
                <wp:positionH relativeFrom="column">
                  <wp:posOffset>3022600</wp:posOffset>
                </wp:positionH>
                <wp:positionV relativeFrom="paragraph">
                  <wp:posOffset>243840</wp:posOffset>
                </wp:positionV>
                <wp:extent cx="3275965" cy="250190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0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CA44FB" w:rsidRPr="00C5682E" w:rsidRDefault="00CA44FB"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CA44FB" w:rsidRPr="00C5682E" w:rsidRDefault="00CA44FB"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CA44FB" w:rsidRPr="00C5682E" w:rsidRDefault="00CA44FB"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CA44FB" w:rsidRPr="00C5682E" w:rsidRDefault="00CA44FB" w:rsidP="00A0661A">
                            <w:pPr>
                              <w:pStyle w:val="KIIDbullet1"/>
                              <w:numPr>
                                <w:ilvl w:val="0"/>
                                <w:numId w:val="10"/>
                              </w:numPr>
                              <w:spacing w:after="60" w:line="240" w:lineRule="auto"/>
                              <w:ind w:left="357" w:hanging="357"/>
                              <w:rPr>
                                <w:rFonts w:cs="Arial"/>
                                <w:bCs/>
                                <w:sz w:val="16"/>
                                <w:szCs w:val="16"/>
                              </w:rPr>
                            </w:pPr>
                            <w:bookmarkStart w:id="4" w:name="_Hlk106030897"/>
                            <w:bookmarkStart w:id="5"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1" type="#_x0000_t202" style="position:absolute;margin-left:238pt;margin-top:19.2pt;width:257.95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Zehw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" stroked="f">
                <v:textbox>
                  <w:txbxContent>
                    <w:p w14:paraId="0AA6402E" w14:textId="77777777" w:rsidR="00CA44FB" w:rsidRPr="00C5682E" w:rsidRDefault="00CA44FB"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Bitte beachten Sie, dass das irische Steuerrecht Einfluss auf Ihre persönliche Steuersituation haben kann. Wir empfehlen Ihnen, sich steuerfachlich beraten zu lassen. </w:t>
                      </w:r>
                    </w:p>
                    <w:p w14:paraId="1A32BDC6" w14:textId="2938FF48" w:rsidR="00CA44FB" w:rsidRPr="00C5682E" w:rsidRDefault="00CA44FB"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kann lediglich auf der Grundlage einer in diesem Dokument enthaltenen Erklärung haftbar gemacht werden, die irreführend, unrichtig oder nicht mit den einschlägigen Teilen des Prospekts oder der Ergänzung vereinbar ist. Die Vermögenswerte und Verbindlichkeiten der einzelnen Teilfonds der Gesellschaft sind gemäß dem irischen Recht haftungs- und vermögensrechtlich getrennt. </w:t>
                      </w:r>
                    </w:p>
                    <w:p w14:paraId="27A7032A" w14:textId="01439FA2" w:rsidR="00CA44FB" w:rsidRPr="00C5682E" w:rsidRDefault="00CA44FB" w:rsidP="00A0661A">
                      <w:pPr>
                        <w:pStyle w:val="KIIDbullet1"/>
                        <w:numPr>
                          <w:ilvl w:val="0"/>
                          <w:numId w:val="10"/>
                        </w:numPr>
                        <w:spacing w:after="60" w:line="240" w:lineRule="auto"/>
                        <w:ind w:left="357" w:hanging="357"/>
                        <w:rPr>
                          <w:rFonts w:cs="Arial"/>
                          <w:bCs/>
                          <w:sz w:val="16"/>
                          <w:szCs w:val="16"/>
                        </w:rPr>
                      </w:pPr>
                      <w:r w:rsidRPr="00C5682E">
                        <w:rPr>
                          <w:sz w:val="16"/>
                          <w:szCs w:val="16"/>
                        </w:rPr>
                        <w:t xml:space="preserve">Der Verwalter ist in Irland zugelassen und wird durch die Central Bank of Ireland reguliert. </w:t>
                      </w:r>
                    </w:p>
                    <w:p w14:paraId="509D6007" w14:textId="24B5A057" w:rsidR="00CA44FB" w:rsidRPr="00C5682E" w:rsidRDefault="00CA44FB" w:rsidP="00A0661A">
                      <w:pPr>
                        <w:pStyle w:val="KIIDbullet1"/>
                        <w:numPr>
                          <w:ilvl w:val="0"/>
                          <w:numId w:val="10"/>
                        </w:numPr>
                        <w:spacing w:after="60" w:line="240" w:lineRule="auto"/>
                        <w:ind w:left="357" w:hanging="357"/>
                        <w:rPr>
                          <w:rFonts w:cs="Arial"/>
                          <w:bCs/>
                          <w:sz w:val="16"/>
                          <w:szCs w:val="16"/>
                        </w:rPr>
                      </w:pPr>
                      <w:bookmarkStart w:id="12" w:name="_Hlk106030897"/>
                      <w:bookmarkStart w:id="13" w:name="_Hlk106030898"/>
                      <w:r w:rsidRPr="00C5682E">
                        <w:rPr>
                          <w:sz w:val="16"/>
                          <w:szCs w:val="16"/>
                        </w:rPr>
                        <w:t xml:space="preserve">Diese wesentlichen Informationen für Anleger beziehen sich auf die im Titel dieses Dokumentes angegebene Anteilsklasse (des Fonds). Weitergehende Informationen über den Fonds, auch darüber, wie Sie Anteile kaufen, verkaufen und umtauschen können, finden Sie im Prospekt und in der Ergänzung. Der Prospekt, der geprüfte Jahresbericht und Jahresabschluss sowie die ungeprüften Halbjahresberichte werden für die Gesellschaft als Ganzes erstellt. </w:t>
                      </w:r>
                      <w:bookmarkEnd w:id="12"/>
                      <w:bookmarkEnd w:id="13"/>
                    </w:p>
                  </w:txbxContent>
                </v:textbox>
              </v:shape>
            </w:pict>
          </mc:Fallback>
        </mc:AlternateContent>
      </w:r>
      <w:r w:rsidR="009A07BE">
        <w:rPr>
          <w:noProof/>
          <w:lang w:eastAsia="ja-JP"/>
        </w:rPr>
        <mc:AlternateContent>
          <mc:Choice Requires="wps">
            <w:drawing>
              <wp:anchor distT="0" distB="0" distL="114300" distR="114300" simplePos="0" relativeHeight="251688960" behindDoc="0" locked="0" layoutInCell="1" allowOverlap="1" wp14:anchorId="05C78577" wp14:editId="329ED352">
                <wp:simplePos x="0" y="0"/>
                <wp:positionH relativeFrom="column">
                  <wp:posOffset>-487045</wp:posOffset>
                </wp:positionH>
                <wp:positionV relativeFrom="paragraph">
                  <wp:posOffset>229235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CA44FB" w:rsidRPr="006F31C1" w:rsidRDefault="00CA44F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margin-left:-38.35pt;margin-top:18.0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" stroked="f">
                <v:textbox>
                  <w:txbxContent>
                    <w:p w14:paraId="7A7D7D0E" w14:textId="77777777" w:rsidR="00CA44FB" w:rsidRPr="006F31C1" w:rsidRDefault="00CA44FB" w:rsidP="00CB0F6B">
                      <w:pPr>
                        <w:shd w:val="clear" w:color="auto" w:fill="FFFFFF"/>
                        <w:tabs>
                          <w:tab w:val="left" w:pos="163"/>
                        </w:tabs>
                        <w:autoSpaceDE w:val="0"/>
                        <w:autoSpaceDN w:val="0"/>
                        <w:adjustRightInd w:val="0"/>
                        <w:spacing w:line="240" w:lineRule="auto"/>
                        <w:rPr>
                          <w:rFonts w:cs="Arial"/>
                          <w:color w:val="5F5F5F"/>
                          <w:sz w:val="18"/>
                          <w:szCs w:val="18"/>
                        </w:rPr>
                      </w:pPr>
                      <w:r>
                        <w:rPr>
                          <w:b/>
                          <w:caps/>
                          <w:color w:val="006747"/>
                          <w:sz w:val="21"/>
                        </w:rPr>
                        <w:t>Praktische Informationen</w:t>
                      </w:r>
                    </w:p>
                  </w:txbxContent>
                </v:textbox>
              </v:shape>
            </w:pict>
          </mc:Fallback>
        </mc:AlternateContent>
      </w:r>
      <w:r w:rsidR="009A07BE">
        <w:rPr>
          <w:noProof/>
          <w:color w:val="000000"/>
          <w:lang w:eastAsia="ja-JP"/>
        </w:rPr>
        <mc:AlternateContent>
          <mc:Choice Requires="wps">
            <w:drawing>
              <wp:anchor distT="0" distB="0" distL="114300" distR="114300" simplePos="0" relativeHeight="251686912" behindDoc="0" locked="0" layoutInCell="1" allowOverlap="1" wp14:anchorId="1134C902" wp14:editId="710531E9">
                <wp:simplePos x="0" y="0"/>
                <wp:positionH relativeFrom="margin">
                  <wp:posOffset>-541020</wp:posOffset>
                </wp:positionH>
                <wp:positionV relativeFrom="paragraph">
                  <wp:posOffset>174625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37A49" id="AutoShape 134" o:spid="_x0000_s1026" type="#_x0000_t32" style="position:absolute;margin-left:-42.6pt;margin-top:13.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" strokecolor="#006747">
                <w10:wrap anchorx="margin"/>
              </v:shape>
            </w:pict>
          </mc:Fallback>
        </mc:AlternateContent>
      </w:r>
    </w:p>
    <w:p w14:paraId="03DC48A2" w14:textId="6330F5A2" w:rsidR="005B6E23" w:rsidRDefault="00734772">
      <w:pPr>
        <w:widowControl/>
        <w:spacing w:after="160" w:line="259" w:lineRule="auto"/>
        <w:jc w:val="left"/>
      </w:pPr>
      <w:r>
        <w:rPr>
          <w:noProof/>
          <w:lang w:eastAsia="ja-JP"/>
        </w:rPr>
        <mc:AlternateContent>
          <mc:Choice Requires="wps">
            <w:drawing>
              <wp:anchor distT="0" distB="0" distL="114300" distR="114300" simplePos="0" relativeHeight="251693056" behindDoc="0" locked="0" layoutInCell="1" allowOverlap="1" wp14:anchorId="49686F48" wp14:editId="523C38E3">
                <wp:simplePos x="0" y="0"/>
                <wp:positionH relativeFrom="column">
                  <wp:posOffset>-463550</wp:posOffset>
                </wp:positionH>
                <wp:positionV relativeFrom="paragraph">
                  <wp:posOffset>171450</wp:posOffset>
                </wp:positionV>
                <wp:extent cx="3359150" cy="2578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57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77DEDBEC"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4" w:history="1">
                              <w:r w:rsidR="00A12A2B" w:rsidRPr="009A7E89">
                                <w:rPr>
                                  <w:rStyle w:val="Hyperlink"/>
                                  <w:sz w:val="16"/>
                                  <w:szCs w:val="16"/>
                                </w:rPr>
                                <w:t>https://www.cqs.com/documents/regulatory-disclosures/cqs_ucits_remuneration_policy.pdf</w:t>
                              </w:r>
                            </w:hyperlink>
                            <w:r w:rsidR="00A12A2B">
                              <w:rPr>
                                <w:sz w:val="16"/>
                                <w:szCs w:val="16"/>
                              </w:rPr>
                              <w:t xml:space="preserve"> </w:t>
                            </w:r>
                          </w:p>
                          <w:p w14:paraId="13585DF8" w14:textId="2386B7F7"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5" w:history="1">
                              <w:r w:rsidR="00A12A2B" w:rsidRPr="009A7E89">
                                <w:rPr>
                                  <w:rStyle w:val="Hyperlink"/>
                                  <w:sz w:val="16"/>
                                  <w:szCs w:val="16"/>
                                </w:rPr>
                                <w:t>https://kbassociates.ie</w:t>
                              </w:r>
                            </w:hyperlink>
                            <w:r w:rsidR="00A12A2B">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fondsspezifischen 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CA44FB" w:rsidRPr="00A32750" w:rsidRDefault="00CA44FB">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3.5pt;width:264.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" stroked="f">
                <v:textbox>
                  <w:txbxContent>
                    <w:p w14:paraId="0AF27AA9" w14:textId="77DEDBEC"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Ein Exemplar der Vergütungsgrundsätze der Gesellschaft finden Sie unter </w:t>
                      </w:r>
                      <w:hyperlink r:id="rId16" w:history="1">
                        <w:r w:rsidR="00A12A2B" w:rsidRPr="009A7E89">
                          <w:rPr>
                            <w:rStyle w:val="Hyperlink"/>
                            <w:sz w:val="16"/>
                            <w:szCs w:val="16"/>
                          </w:rPr>
                          <w:t>https://www.cqs.com/documents/regulatory-disclosures/cqs_ucits_remuneration_policy.pdf</w:t>
                        </w:r>
                      </w:hyperlink>
                      <w:r w:rsidR="00A12A2B">
                        <w:rPr>
                          <w:sz w:val="16"/>
                          <w:szCs w:val="16"/>
                        </w:rPr>
                        <w:t xml:space="preserve"> </w:t>
                      </w:r>
                    </w:p>
                    <w:p w14:paraId="13585DF8" w14:textId="2386B7F7"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Angaben zu den Vergütungsgrundsätzen des Verwalters können unter </w:t>
                      </w:r>
                      <w:hyperlink r:id="rId17" w:history="1">
                        <w:r w:rsidR="00A12A2B" w:rsidRPr="009A7E89">
                          <w:rPr>
                            <w:rStyle w:val="Hyperlink"/>
                            <w:sz w:val="16"/>
                            <w:szCs w:val="16"/>
                          </w:rPr>
                          <w:t>https://kbassociates.ie</w:t>
                        </w:r>
                      </w:hyperlink>
                      <w:r w:rsidR="00A12A2B">
                        <w:rPr>
                          <w:sz w:val="16"/>
                          <w:szCs w:val="16"/>
                        </w:rPr>
                        <w:t xml:space="preserve"> </w:t>
                      </w:r>
                      <w:r w:rsidRPr="00C5682E">
                        <w:rPr>
                          <w:sz w:val="16"/>
                          <w:szCs w:val="16"/>
                        </w:rPr>
                        <w:t xml:space="preserve"> abgerufen werden. Auf Anfrage wird ein Ausdruck der Vergütungsgrundsätze unentgeltlich zur Verfügung gestellt. </w:t>
                      </w:r>
                    </w:p>
                    <w:p w14:paraId="4019ABE4" w14:textId="1EA520E6"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Die Verwahrstelle (Depotbank) ist BNP Paribas Securities Services, Niederlassung Dublin. </w:t>
                      </w:r>
                    </w:p>
                    <w:p w14:paraId="33E41788" w14:textId="0025EEA6"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Informationen zum Fonds sowie Ausfertigungen des Prospekts, der fondsspezifischen Ergänzung, des jüngsten geprüften Jahresbericht und Jahresabschlusses sowie ggf. eines späteren ungeprüften Halbjahresberichts sind in englischer Sprache kostenlos bei der Verwaltungsstelle, BNP Fund Services (Ireland) Limited (die </w:t>
                      </w:r>
                      <w:r w:rsidRPr="00C5682E">
                        <w:rPr>
                          <w:b/>
                          <w:bCs/>
                          <w:sz w:val="16"/>
                          <w:szCs w:val="16"/>
                        </w:rPr>
                        <w:t>Verwaltungsstelle</w:t>
                      </w:r>
                      <w:r w:rsidRPr="00C5682E">
                        <w:rPr>
                          <w:sz w:val="16"/>
                          <w:szCs w:val="16"/>
                        </w:rPr>
                        <w:t xml:space="preserve">) oder beim Anlageverwalter, CQS (UK) LLP, erhältlich. </w:t>
                      </w:r>
                    </w:p>
                    <w:p w14:paraId="50677DBE" w14:textId="5C26E43A" w:rsidR="00CA44FB" w:rsidRPr="00C5682E" w:rsidRDefault="00CA44FB" w:rsidP="00A0661A">
                      <w:pPr>
                        <w:pStyle w:val="KIIDbullet1"/>
                        <w:spacing w:after="60" w:line="240" w:lineRule="auto"/>
                        <w:ind w:left="357" w:hanging="357"/>
                        <w:rPr>
                          <w:rFonts w:cs="Arial"/>
                          <w:bCs/>
                          <w:sz w:val="16"/>
                          <w:szCs w:val="16"/>
                        </w:rPr>
                      </w:pPr>
                      <w:r w:rsidRPr="00C5682E">
                        <w:rPr>
                          <w:sz w:val="16"/>
                          <w:szCs w:val="16"/>
                        </w:rPr>
                        <w:t xml:space="preserve">Aktuelle Zeichnungs- und Rücknahmepreise erfahren Sie bei der Verwaltungsstelle. </w:t>
                      </w:r>
                    </w:p>
                    <w:p w14:paraId="4FD794F9" w14:textId="77777777" w:rsidR="00CA44FB" w:rsidRPr="00A32750" w:rsidRDefault="00CA44FB">
                      <w:pPr>
                        <w:pStyle w:val="KIIDbullet1"/>
                        <w:numPr>
                          <w:ilvl w:val="0"/>
                          <w:numId w:val="0"/>
                        </w:numPr>
                        <w:spacing w:after="80"/>
                        <w:rPr>
                          <w:rFonts w:cs="Arial"/>
                          <w:bCs/>
                          <w:sz w:val="17"/>
                          <w:szCs w:val="17"/>
                          <w:lang w:val="en-GB"/>
                        </w:rPr>
                      </w:pPr>
                    </w:p>
                  </w:txbxContent>
                </v:textbox>
              </v:shape>
            </w:pict>
          </mc:Fallback>
        </mc:AlternateContent>
      </w:r>
      <w:r w:rsidR="0068106E">
        <w:rPr>
          <w:noProof/>
          <w:lang w:eastAsia="ja-JP"/>
        </w:rPr>
        <w:drawing>
          <wp:anchor distT="0" distB="0" distL="114300" distR="114300" simplePos="0" relativeHeight="251707392" behindDoc="0" locked="0" layoutInCell="1" allowOverlap="1" wp14:anchorId="1A56C5E6" wp14:editId="7C844A31">
            <wp:simplePos x="0" y="0"/>
            <wp:positionH relativeFrom="column">
              <wp:posOffset>3829050</wp:posOffset>
            </wp:positionH>
            <wp:positionV relativeFrom="paragraph">
              <wp:posOffset>4032250</wp:posOffset>
            </wp:positionV>
            <wp:extent cx="1485900" cy="698429"/>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5900" cy="698429"/>
                    </a:xfrm>
                    <a:prstGeom prst="rect">
                      <a:avLst/>
                    </a:prstGeom>
                  </pic:spPr>
                </pic:pic>
              </a:graphicData>
            </a:graphic>
            <wp14:sizeRelH relativeFrom="page">
              <wp14:pctWidth>0</wp14:pctWidth>
            </wp14:sizeRelH>
            <wp14:sizeRelV relativeFrom="page">
              <wp14:pctHeight>0</wp14:pctHeight>
            </wp14:sizeRelV>
          </wp:anchor>
        </w:drawing>
      </w:r>
      <w:r w:rsidR="001C67F5">
        <w:rPr>
          <w:noProof/>
          <w:lang w:eastAsia="ja-JP"/>
        </w:rPr>
        <mc:AlternateContent>
          <mc:Choice Requires="wps">
            <w:drawing>
              <wp:anchor distT="0" distB="0" distL="114300" distR="114300" simplePos="0" relativeHeight="251695104" behindDoc="0" locked="0" layoutInCell="1" allowOverlap="1" wp14:anchorId="4246B9A2" wp14:editId="684C28E2">
                <wp:simplePos x="0" y="0"/>
                <wp:positionH relativeFrom="column">
                  <wp:posOffset>-504825</wp:posOffset>
                </wp:positionH>
                <wp:positionV relativeFrom="paragraph">
                  <wp:posOffset>2498725</wp:posOffset>
                </wp:positionV>
                <wp:extent cx="6927850" cy="16859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859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421FEAEA" w:rsidR="00CA44FB" w:rsidRPr="00F1704F" w:rsidRDefault="00CA44FB"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Pr>
                                <w:color w:val="A6A6A6"/>
                                <w:sz w:val="14"/>
                              </w:rPr>
                              <w:t xml:space="preserve"> </w:t>
                            </w:r>
                            <w:r w:rsidRPr="009A07BE">
                              <w:rPr>
                                <w:color w:val="A6A6A6"/>
                                <w:sz w:val="14"/>
                              </w:rPr>
                              <w:t>8. August 2022</w:t>
                            </w:r>
                            <w:r w:rsidRPr="00C5682E">
                              <w:rPr>
                                <w:b/>
                                <w:color w:val="A6A6A6"/>
                                <w:sz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39.75pt;margin-top:196.75pt;width:545.5pt;height:1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" filled="f" fillcolor="#cce1da" stroked="f" strokecolor="#006747">
                <v:textbox>
                  <w:txbxContent>
                    <w:p w14:paraId="41D22610" w14:textId="421FEAEA" w:rsidR="00CA44FB" w:rsidRPr="00F1704F" w:rsidRDefault="00CA44FB" w:rsidP="009A07BE">
                      <w:pPr>
                        <w:spacing w:line="200" w:lineRule="exact"/>
                        <w:jc w:val="left"/>
                        <w:rPr>
                          <w:rFonts w:cs="Arial"/>
                          <w:color w:val="A6A6A6"/>
                          <w:sz w:val="14"/>
                          <w:szCs w:val="14"/>
                        </w:rPr>
                      </w:pPr>
                      <w:r w:rsidRPr="000F534C">
                        <w:rPr>
                          <w:color w:val="A6A6A6"/>
                          <w:sz w:val="14"/>
                        </w:rPr>
                        <w:t>Für den Vertrieb ausländischer Organismen für kollektive Anlagen an qualifizierte Anleger in der Schweiz (soweit zutreffend) erforderliche Informationen: Der Vertreter in der Schweiz ist Acolin Fund Services AG, Leutschenbachstrasse 50, CH-8050 Zürich, Schweiz. Der Vertrieb von Anteilen des betreffenden CQS-Fonds in der Schweiz erfolgt einzig an qualifizierte Anlegerinnen und Anleger (die „qualifizierten Anlegerinnen und Anleger“) gemäß Definition im Bundesgesetz über die kollektiven Kapitalanlagen vom 23. Juni 2006 („KAG“) und seiner Durchführungsverordnung (die „Schweizer Vertriebsvorschriften“) und ist einzig für sie bestimmt. Der betreffende CQS-Fonds wurde und wird daher nicht bei der Eidgenössischen Finanzmarktaufsicht („FINMA“) registriert. Zahlstelle in der Schweiz ist Aquila &amp; Co. AG, Bahnhofstrasse 28a, CH-8001, Zürich, Schweiz. Das massgebliche Angebotsdokument und alle anderen zu Vermarktungszwecken verwendeten Dokumente, darunter der Jahres- und ggf. Halbjahresbericht, sind kostenlos beim Repräsentanten in der Schweiz erhältlich.</w:t>
                      </w:r>
                      <w:r>
                        <w:rPr>
                          <w:color w:val="A6A6A6"/>
                          <w:sz w:val="14"/>
                        </w:rPr>
                        <w:t xml:space="preserve"> </w:t>
                      </w:r>
                      <w:r w:rsidRPr="000F534C">
                        <w:rPr>
                          <w:color w:val="A6A6A6"/>
                          <w:sz w:val="14"/>
                        </w:rPr>
                        <w:t>Im Hinblick auf die in der Schweiz und von der Schweiz aus vertriebenen Anteile ist der Erfüllungsort und Gerichtsstand der eingetragene Sitz des Repräsentanten in der Schweiz. CQS (UK) LLP (als Vertriebsstelle in der Schweiz) und ihre Vertreter zahlen keine Retrozessionen an Dritte in Bezug auf den Vertrieb der Anteile des massgeblichen Fonds in der Schweiz oder von der Schweiz aus.</w:t>
                      </w:r>
                      <w:r>
                        <w:rPr>
                          <w:color w:val="A6A6A6"/>
                          <w:sz w:val="14"/>
                        </w:rPr>
                        <w:t xml:space="preserve"> </w:t>
                      </w:r>
                      <w:r w:rsidRPr="000F534C">
                        <w:rPr>
                          <w:color w:val="A6A6A6"/>
                          <w:sz w:val="14"/>
                        </w:rPr>
                        <w:t>CQS (UK) LLP (als ertriebsstelle in der Schweiz) und ihre Vertreter zahlen keine Abschläge, um eine Reduzierung der von dem massgeblichen CQS-Fonds gezahlten und den Anlegerinnen und Anlegern entstandenen Gebühren und Aufwendungen zu erwirken. Die Gesellschaft ist in Irland zugelassen und wird durch die Central Bank of Ireland reguliert. Diese wesentlichen Informationen für Anleger sind zutreffend und entsprechen dem Stand am</w:t>
                      </w:r>
                      <w:r>
                        <w:rPr>
                          <w:color w:val="A6A6A6"/>
                          <w:sz w:val="14"/>
                        </w:rPr>
                        <w:t xml:space="preserve"> </w:t>
                      </w:r>
                      <w:r w:rsidRPr="009A07BE">
                        <w:rPr>
                          <w:color w:val="A6A6A6"/>
                          <w:sz w:val="14"/>
                        </w:rPr>
                        <w:t>8. August 2022</w:t>
                      </w:r>
                      <w:r w:rsidRPr="00C5682E">
                        <w:rPr>
                          <w:b/>
                          <w:color w:val="A6A6A6"/>
                          <w:sz w:val="14"/>
                        </w:rPr>
                        <w:t>.</w:t>
                      </w:r>
                    </w:p>
                  </w:txbxContent>
                </v:textbox>
              </v:shape>
            </w:pict>
          </mc:Fallback>
        </mc:AlternateContent>
      </w:r>
      <w:r w:rsidR="00883D68">
        <w:rPr>
          <w:noProof/>
          <w:lang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B6601" w14:textId="77777777" w:rsidR="00CA44FB" w:rsidRDefault="00CA44FB" w:rsidP="005B6E23">
      <w:pPr>
        <w:spacing w:line="240" w:lineRule="auto"/>
      </w:pPr>
      <w:r>
        <w:separator/>
      </w:r>
    </w:p>
  </w:endnote>
  <w:endnote w:type="continuationSeparator" w:id="0">
    <w:p w14:paraId="69FE7CA6" w14:textId="77777777" w:rsidR="00CA44FB" w:rsidRDefault="00CA44F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CA44FB" w:rsidRDefault="00CA44F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04B68">
      <w:rPr>
        <w:caps/>
        <w:noProof/>
        <w:color w:val="5B9BD5" w:themeColor="accent1"/>
      </w:rPr>
      <w:t>2</w:t>
    </w:r>
    <w:r>
      <w:rPr>
        <w:caps/>
        <w:color w:val="5B9BD5" w:themeColor="accent1"/>
      </w:rPr>
      <w:fldChar w:fldCharType="end"/>
    </w:r>
  </w:p>
  <w:p w14:paraId="549331D9" w14:textId="77777777" w:rsidR="00CA44FB" w:rsidRDefault="00CA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5566" w14:textId="77777777" w:rsidR="00CA44FB" w:rsidRDefault="00CA44FB" w:rsidP="005B6E23">
      <w:pPr>
        <w:spacing w:line="240" w:lineRule="auto"/>
      </w:pPr>
      <w:r>
        <w:separator/>
      </w:r>
    </w:p>
  </w:footnote>
  <w:footnote w:type="continuationSeparator" w:id="0">
    <w:p w14:paraId="0632992A" w14:textId="77777777" w:rsidR="00CA44FB" w:rsidRDefault="00CA44F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411686">
    <w:abstractNumId w:val="7"/>
  </w:num>
  <w:num w:numId="2" w16cid:durableId="1687050938">
    <w:abstractNumId w:val="8"/>
  </w:num>
  <w:num w:numId="3" w16cid:durableId="1531258422">
    <w:abstractNumId w:val="2"/>
  </w:num>
  <w:num w:numId="4" w16cid:durableId="371617326">
    <w:abstractNumId w:val="8"/>
  </w:num>
  <w:num w:numId="5" w16cid:durableId="1121877280">
    <w:abstractNumId w:val="0"/>
  </w:num>
  <w:num w:numId="6" w16cid:durableId="1046103911">
    <w:abstractNumId w:val="4"/>
  </w:num>
  <w:num w:numId="7" w16cid:durableId="854923387">
    <w:abstractNumId w:val="3"/>
  </w:num>
  <w:num w:numId="8" w16cid:durableId="1043480491">
    <w:abstractNumId w:val="6"/>
  </w:num>
  <w:num w:numId="9" w16cid:durableId="1379742585">
    <w:abstractNumId w:val="5"/>
  </w:num>
  <w:num w:numId="10" w16cid:durableId="563178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D0763"/>
    <w:rsid w:val="000F534C"/>
    <w:rsid w:val="001266C0"/>
    <w:rsid w:val="00130536"/>
    <w:rsid w:val="00132C0D"/>
    <w:rsid w:val="00150151"/>
    <w:rsid w:val="001576C6"/>
    <w:rsid w:val="00162886"/>
    <w:rsid w:val="00166B27"/>
    <w:rsid w:val="0017638F"/>
    <w:rsid w:val="00182EA0"/>
    <w:rsid w:val="001B2BEF"/>
    <w:rsid w:val="001B52DF"/>
    <w:rsid w:val="001B5511"/>
    <w:rsid w:val="001C67F5"/>
    <w:rsid w:val="001D71A7"/>
    <w:rsid w:val="002006A1"/>
    <w:rsid w:val="00207A6B"/>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C7690"/>
    <w:rsid w:val="003E383B"/>
    <w:rsid w:val="003F4AED"/>
    <w:rsid w:val="00405415"/>
    <w:rsid w:val="00406B3B"/>
    <w:rsid w:val="00411B7D"/>
    <w:rsid w:val="00470786"/>
    <w:rsid w:val="00471F92"/>
    <w:rsid w:val="00482326"/>
    <w:rsid w:val="004834D4"/>
    <w:rsid w:val="00491D9D"/>
    <w:rsid w:val="00492098"/>
    <w:rsid w:val="004938B0"/>
    <w:rsid w:val="004D7DB2"/>
    <w:rsid w:val="004F53A0"/>
    <w:rsid w:val="0050106F"/>
    <w:rsid w:val="005321A2"/>
    <w:rsid w:val="00547654"/>
    <w:rsid w:val="00551CA0"/>
    <w:rsid w:val="005542CF"/>
    <w:rsid w:val="005640AB"/>
    <w:rsid w:val="00590E50"/>
    <w:rsid w:val="005B2A95"/>
    <w:rsid w:val="005B6E23"/>
    <w:rsid w:val="005D031A"/>
    <w:rsid w:val="005D7124"/>
    <w:rsid w:val="005D7254"/>
    <w:rsid w:val="00601A22"/>
    <w:rsid w:val="00603E62"/>
    <w:rsid w:val="00640079"/>
    <w:rsid w:val="00650319"/>
    <w:rsid w:val="00662DA6"/>
    <w:rsid w:val="0067277D"/>
    <w:rsid w:val="0068106E"/>
    <w:rsid w:val="006C68EB"/>
    <w:rsid w:val="00707D3D"/>
    <w:rsid w:val="00734772"/>
    <w:rsid w:val="007355C1"/>
    <w:rsid w:val="00742006"/>
    <w:rsid w:val="007454E4"/>
    <w:rsid w:val="007761A6"/>
    <w:rsid w:val="00777F73"/>
    <w:rsid w:val="0078100F"/>
    <w:rsid w:val="007831CF"/>
    <w:rsid w:val="00783C16"/>
    <w:rsid w:val="0078724B"/>
    <w:rsid w:val="00790B90"/>
    <w:rsid w:val="007B4BEC"/>
    <w:rsid w:val="007C2529"/>
    <w:rsid w:val="007C7A66"/>
    <w:rsid w:val="007E0AFC"/>
    <w:rsid w:val="007F4CBB"/>
    <w:rsid w:val="008218A8"/>
    <w:rsid w:val="00824542"/>
    <w:rsid w:val="00824906"/>
    <w:rsid w:val="0084674C"/>
    <w:rsid w:val="00860C1C"/>
    <w:rsid w:val="00872332"/>
    <w:rsid w:val="0087466C"/>
    <w:rsid w:val="00883D68"/>
    <w:rsid w:val="008843CB"/>
    <w:rsid w:val="008859B4"/>
    <w:rsid w:val="008A3787"/>
    <w:rsid w:val="008C2A01"/>
    <w:rsid w:val="008E7B34"/>
    <w:rsid w:val="009572C4"/>
    <w:rsid w:val="00965838"/>
    <w:rsid w:val="009813A8"/>
    <w:rsid w:val="0098667B"/>
    <w:rsid w:val="00991A1D"/>
    <w:rsid w:val="009A07BE"/>
    <w:rsid w:val="009B308D"/>
    <w:rsid w:val="009D5C18"/>
    <w:rsid w:val="009E0691"/>
    <w:rsid w:val="009E58DD"/>
    <w:rsid w:val="00A0105F"/>
    <w:rsid w:val="00A0661A"/>
    <w:rsid w:val="00A06BCD"/>
    <w:rsid w:val="00A12A2B"/>
    <w:rsid w:val="00A32750"/>
    <w:rsid w:val="00A35678"/>
    <w:rsid w:val="00A545B1"/>
    <w:rsid w:val="00A7637F"/>
    <w:rsid w:val="00A80635"/>
    <w:rsid w:val="00AA1954"/>
    <w:rsid w:val="00AB2C60"/>
    <w:rsid w:val="00AB32D7"/>
    <w:rsid w:val="00AE3529"/>
    <w:rsid w:val="00AE6FDF"/>
    <w:rsid w:val="00B03A64"/>
    <w:rsid w:val="00B12B6F"/>
    <w:rsid w:val="00B14CE9"/>
    <w:rsid w:val="00B41DFE"/>
    <w:rsid w:val="00B74D10"/>
    <w:rsid w:val="00B92CCF"/>
    <w:rsid w:val="00BA499D"/>
    <w:rsid w:val="00BD0715"/>
    <w:rsid w:val="00BF2182"/>
    <w:rsid w:val="00C2285A"/>
    <w:rsid w:val="00C3106A"/>
    <w:rsid w:val="00C320A0"/>
    <w:rsid w:val="00C335ED"/>
    <w:rsid w:val="00C34FC3"/>
    <w:rsid w:val="00C5682E"/>
    <w:rsid w:val="00C92E59"/>
    <w:rsid w:val="00CA44FB"/>
    <w:rsid w:val="00CA5621"/>
    <w:rsid w:val="00CB0F6B"/>
    <w:rsid w:val="00CB6720"/>
    <w:rsid w:val="00CD42A5"/>
    <w:rsid w:val="00D04389"/>
    <w:rsid w:val="00D04B68"/>
    <w:rsid w:val="00D3149A"/>
    <w:rsid w:val="00D7328B"/>
    <w:rsid w:val="00D91E47"/>
    <w:rsid w:val="00D970B3"/>
    <w:rsid w:val="00DA7268"/>
    <w:rsid w:val="00DB7334"/>
    <w:rsid w:val="00DC13F2"/>
    <w:rsid w:val="00DC2CE9"/>
    <w:rsid w:val="00DD263A"/>
    <w:rsid w:val="00DE5EAE"/>
    <w:rsid w:val="00DF3E5A"/>
    <w:rsid w:val="00DF6DB3"/>
    <w:rsid w:val="00E0421D"/>
    <w:rsid w:val="00E46B21"/>
    <w:rsid w:val="00E658A2"/>
    <w:rsid w:val="00E7589F"/>
    <w:rsid w:val="00E86A6B"/>
    <w:rsid w:val="00E91F43"/>
    <w:rsid w:val="00EA4CD3"/>
    <w:rsid w:val="00EC7D6F"/>
    <w:rsid w:val="00ED0F4D"/>
    <w:rsid w:val="00EE3310"/>
    <w:rsid w:val="00F000DE"/>
    <w:rsid w:val="00F0299D"/>
    <w:rsid w:val="00F15A75"/>
    <w:rsid w:val="00F26250"/>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de-D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de-D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de-D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de-DE"/>
    </w:rPr>
  </w:style>
  <w:style w:type="character" w:customStyle="1" w:styleId="UnresolvedMention1">
    <w:name w:val="Unresolved Mention1"/>
    <w:basedOn w:val="DefaultParagraphFont"/>
    <w:uiPriority w:val="99"/>
    <w:semiHidden/>
    <w:unhideWhenUsed/>
    <w:rsid w:val="00965838"/>
    <w:rPr>
      <w:color w:val="605E5C"/>
      <w:shd w:val="clear" w:color="auto" w:fill="E1DFDD"/>
    </w:rPr>
  </w:style>
  <w:style w:type="character" w:styleId="UnresolvedMention">
    <w:name w:val="Unresolved Mention"/>
    <w:basedOn w:val="DefaultParagraphFont"/>
    <w:uiPriority w:val="99"/>
    <w:semiHidden/>
    <w:unhideWhenUsed/>
    <w:rsid w:val="00A12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32</cp:revision>
  <cp:lastPrinted>2022-03-14T12:29:00Z</cp:lastPrinted>
  <dcterms:created xsi:type="dcterms:W3CDTF">2022-08-04T07:51:00Z</dcterms:created>
  <dcterms:modified xsi:type="dcterms:W3CDTF">2022-11-01T11:09:00Z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