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36B9F90E" w:rsidR="005B6E23" w:rsidRPr="009F3545" w:rsidRDefault="003B5264" w:rsidP="005B6E23">
      <w:pPr>
        <w:rPr>
          <w:lang w:val="fr-FR"/>
        </w:rPr>
      </w:pPr>
      <w:r w:rsidRPr="009F3545">
        <w:rPr>
          <w:noProof/>
          <w:lang w:val="de-DE" w:eastAsia="ja-JP"/>
        </w:rPr>
        <mc:AlternateContent>
          <mc:Choice Requires="wps">
            <w:drawing>
              <wp:anchor distT="0" distB="0" distL="114300" distR="114300" simplePos="0" relativeHeight="251659264" behindDoc="0" locked="0" layoutInCell="1" allowOverlap="1" wp14:anchorId="28A12853" wp14:editId="1ADDA372">
                <wp:simplePos x="0" y="0"/>
                <wp:positionH relativeFrom="column">
                  <wp:posOffset>-561975</wp:posOffset>
                </wp:positionH>
                <wp:positionV relativeFrom="paragraph">
                  <wp:posOffset>-638175</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4CFD7C40" w:rsidR="006A09E7" w:rsidRPr="005D5A1B" w:rsidRDefault="006A09E7" w:rsidP="005B6E23">
                            <w:pPr>
                              <w:spacing w:line="200" w:lineRule="exact"/>
                              <w:rPr>
                                <w:b/>
                                <w:caps/>
                                <w:color w:val="006747"/>
                                <w:sz w:val="18"/>
                                <w:szCs w:val="18"/>
                                <w:lang w:val="fr-FR"/>
                              </w:rPr>
                            </w:pPr>
                            <w:r w:rsidRPr="005D5A1B">
                              <w:rPr>
                                <w:b/>
                                <w:caps/>
                                <w:color w:val="006747"/>
                                <w:sz w:val="18"/>
                                <w:szCs w:val="18"/>
                                <w:lang w:val="fr-FR"/>
                              </w:rPr>
                              <w:t>INFORMATIONS CLES POUR L’INVESTISSEUR</w:t>
                            </w:r>
                          </w:p>
                          <w:p w14:paraId="4CCF5C9A" w14:textId="236731F0" w:rsidR="006A09E7" w:rsidRPr="00E759CC" w:rsidRDefault="006A09E7" w:rsidP="00E759CC">
                            <w:pPr>
                              <w:spacing w:line="200" w:lineRule="exact"/>
                              <w:rPr>
                                <w:color w:val="006747"/>
                                <w:sz w:val="18"/>
                                <w:szCs w:val="18"/>
                                <w:lang w:val="fr-FR"/>
                              </w:rPr>
                            </w:pPr>
                            <w:r w:rsidRPr="005D5A1B">
                              <w:rPr>
                                <w:color w:val="006747"/>
                                <w:sz w:val="18"/>
                                <w:szCs w:val="18"/>
                                <w:lang w:val="fr-FR"/>
                              </w:rPr>
                              <w:t>Le présent document fournit aux investisseurs des informations essentielles concernant ce Compartiment. Il ne s’agit pas d’un support marketing. La loi nous oblige à fournir ces informations pour vous aider à comprendre la nature et les risques de l’investissement dans ce Compartiment. Nous vous conseillons de le lire pour prendre des décisions d’investissement éclairées.</w:t>
                            </w:r>
                          </w:p>
                          <w:p w14:paraId="4A2053A4" w14:textId="77777777" w:rsidR="006A09E7" w:rsidRPr="00E759CC" w:rsidRDefault="006A09E7" w:rsidP="005B6E23">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50.25pt;width:401.2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NQjAIAABg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" fillcolor="#cce1da" stroked="f" strokecolor="#006747" strokeweight="1pt">
                <v:textbox>
                  <w:txbxContent>
                    <w:p w14:paraId="65D8E4D3" w14:textId="4CFD7C40" w:rsidR="006A09E7" w:rsidRPr="005D5A1B" w:rsidRDefault="006A09E7" w:rsidP="005B6E23">
                      <w:pPr>
                        <w:spacing w:line="200" w:lineRule="exact"/>
                        <w:rPr>
                          <w:b/>
                          <w:caps/>
                          <w:color w:val="006747"/>
                          <w:sz w:val="18"/>
                          <w:szCs w:val="18"/>
                          <w:lang w:val="fr-FR"/>
                        </w:rPr>
                      </w:pPr>
                      <w:r w:rsidRPr="005D5A1B">
                        <w:rPr>
                          <w:b/>
                          <w:caps/>
                          <w:color w:val="006747"/>
                          <w:sz w:val="18"/>
                          <w:szCs w:val="18"/>
                          <w:lang w:val="fr-FR"/>
                        </w:rPr>
                        <w:t>INFORMATIONS CLES POUR L’INVESTISSEUR</w:t>
                      </w:r>
                    </w:p>
                    <w:p w14:paraId="4CCF5C9A" w14:textId="236731F0" w:rsidR="006A09E7" w:rsidRPr="00E759CC" w:rsidRDefault="006A09E7" w:rsidP="00E759CC">
                      <w:pPr>
                        <w:spacing w:line="200" w:lineRule="exact"/>
                        <w:rPr>
                          <w:color w:val="006747"/>
                          <w:sz w:val="18"/>
                          <w:szCs w:val="18"/>
                          <w:lang w:val="fr-FR"/>
                        </w:rPr>
                      </w:pPr>
                      <w:r w:rsidRPr="005D5A1B">
                        <w:rPr>
                          <w:color w:val="006747"/>
                          <w:sz w:val="18"/>
                          <w:szCs w:val="18"/>
                          <w:lang w:val="fr-FR"/>
                        </w:rPr>
                        <w:t>Le présent document fournit aux investisseurs des informations essentielles concernant ce Compartiment. Il ne s’agit pas d’un support marketing. La loi nous oblige à fournir ces informations pour vous aider à comprendre la nature et les risques de l’investissement dans ce Compartiment. Nous vous conseillons de le lire pour prendre des décisions d’investissement éclairées.</w:t>
                      </w:r>
                    </w:p>
                    <w:p w14:paraId="4A2053A4" w14:textId="77777777" w:rsidR="006A09E7" w:rsidRPr="00E759CC" w:rsidRDefault="006A09E7" w:rsidP="005B6E23">
                      <w:pPr>
                        <w:spacing w:line="200" w:lineRule="exact"/>
                        <w:rPr>
                          <w:color w:val="006747"/>
                          <w:sz w:val="18"/>
                          <w:szCs w:val="18"/>
                          <w:lang w:val="fr-FR"/>
                        </w:rPr>
                      </w:pPr>
                    </w:p>
                  </w:txbxContent>
                </v:textbox>
              </v:shape>
            </w:pict>
          </mc:Fallback>
        </mc:AlternateContent>
      </w:r>
      <w:r w:rsidR="005D5A1B" w:rsidRPr="009F3545">
        <w:rPr>
          <w:noProof/>
          <w:lang w:val="de-DE" w:eastAsia="ja-JP"/>
        </w:rPr>
        <mc:AlternateContent>
          <mc:Choice Requires="wps">
            <w:drawing>
              <wp:anchor distT="0" distB="0" distL="114300" distR="114300" simplePos="0" relativeHeight="251662336" behindDoc="0" locked="0" layoutInCell="1" allowOverlap="1" wp14:anchorId="42E03D93" wp14:editId="582290FB">
                <wp:simplePos x="0" y="0"/>
                <wp:positionH relativeFrom="page">
                  <wp:posOffset>238125</wp:posOffset>
                </wp:positionH>
                <wp:positionV relativeFrom="paragraph">
                  <wp:posOffset>304800</wp:posOffset>
                </wp:positionV>
                <wp:extent cx="7115175" cy="1114425"/>
                <wp:effectExtent l="0" t="0" r="9525"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1144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A3909" w14:textId="77777777" w:rsidR="006A09E7" w:rsidRPr="00E759CC" w:rsidRDefault="006A09E7" w:rsidP="00E5444F">
                            <w:pPr>
                              <w:autoSpaceDE w:val="0"/>
                              <w:autoSpaceDN w:val="0"/>
                              <w:adjustRightInd w:val="0"/>
                              <w:spacing w:after="60" w:line="228" w:lineRule="auto"/>
                              <w:jc w:val="left"/>
                              <w:rPr>
                                <w:rFonts w:cs="Arial"/>
                                <w:b/>
                                <w:bCs/>
                                <w:color w:val="FFFFFF"/>
                                <w:sz w:val="30"/>
                                <w:szCs w:val="30"/>
                                <w:lang w:val="fr-FR"/>
                              </w:rPr>
                            </w:pPr>
                            <w:r w:rsidRPr="00E759CC">
                              <w:rPr>
                                <w:rFonts w:cs="Arial"/>
                                <w:b/>
                                <w:bCs/>
                                <w:color w:val="FFFFFF"/>
                                <w:sz w:val="30"/>
                                <w:szCs w:val="30"/>
                                <w:lang w:val="en-US"/>
                              </w:rPr>
                              <w:t xml:space="preserve">Chinook Global Convertible Bond Fund (Le Fonds) </w:t>
                            </w:r>
                            <w:r w:rsidRPr="00E759CC">
                              <w:rPr>
                                <w:rFonts w:cs="Arial"/>
                                <w:b/>
                                <w:bCs/>
                                <w:color w:val="FFFFFF"/>
                                <w:sz w:val="30"/>
                                <w:szCs w:val="30"/>
                                <w:lang w:val="fr-FR"/>
                              </w:rPr>
                              <w:t xml:space="preserve">un compartiment de </w:t>
                            </w:r>
                          </w:p>
                          <w:p w14:paraId="6F176501" w14:textId="0E0486EF" w:rsidR="006A09E7" w:rsidRPr="00E759CC" w:rsidRDefault="006A09E7" w:rsidP="00E5444F">
                            <w:pPr>
                              <w:autoSpaceDE w:val="0"/>
                              <w:autoSpaceDN w:val="0"/>
                              <w:adjustRightInd w:val="0"/>
                              <w:spacing w:after="80" w:line="228" w:lineRule="auto"/>
                              <w:jc w:val="left"/>
                              <w:rPr>
                                <w:rFonts w:cs="Arial"/>
                                <w:b/>
                                <w:bCs/>
                                <w:color w:val="FFFFFF"/>
                                <w:sz w:val="30"/>
                                <w:szCs w:val="30"/>
                                <w:lang w:val="en-US"/>
                              </w:rPr>
                            </w:pPr>
                            <w:r w:rsidRPr="00E759CC">
                              <w:rPr>
                                <w:rFonts w:cs="Arial"/>
                                <w:b/>
                                <w:bCs/>
                                <w:color w:val="FFFFFF"/>
                                <w:sz w:val="30"/>
                                <w:szCs w:val="30"/>
                                <w:lang w:val="fr-FR"/>
                              </w:rPr>
                              <w:t>CQS Funds (Ireland) plc (la Société). Le Gestionnaire est KBA Consulting Management Limited (le « Gestionnaire »).</w:t>
                            </w:r>
                          </w:p>
                          <w:tbl>
                            <w:tblPr>
                              <w:tblStyle w:val="TableGrid"/>
                              <w:tblW w:w="10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33"/>
                            </w:tblGrid>
                            <w:tr w:rsidR="006A09E7" w:rsidRPr="003E6915" w14:paraId="55C73248" w14:textId="77777777" w:rsidTr="00E759CC">
                              <w:trPr>
                                <w:trHeight w:val="222"/>
                              </w:trPr>
                              <w:tc>
                                <w:tcPr>
                                  <w:tcW w:w="5529" w:type="dxa"/>
                                </w:tcPr>
                                <w:p w14:paraId="2B664235" w14:textId="45F453C9" w:rsidR="006A09E7" w:rsidRPr="00E759CC" w:rsidRDefault="006A09E7" w:rsidP="009F3545">
                                  <w:pPr>
                                    <w:spacing w:after="80" w:line="300" w:lineRule="exact"/>
                                    <w:jc w:val="left"/>
                                    <w:rPr>
                                      <w:rFonts w:cs="Arial"/>
                                      <w:color w:val="FFFFFF"/>
                                      <w:sz w:val="22"/>
                                      <w:szCs w:val="22"/>
                                    </w:rPr>
                                  </w:pPr>
                                  <w:r w:rsidRPr="00E759CC">
                                    <w:rPr>
                                      <w:rFonts w:cs="Arial"/>
                                      <w:color w:val="FFFFFF"/>
                                      <w:sz w:val="22"/>
                                      <w:szCs w:val="22"/>
                                      <w:lang w:val="fr-FR"/>
                                    </w:rPr>
                                    <w:t>Actions de Catégorie</w:t>
                                  </w:r>
                                  <w:r>
                                    <w:rPr>
                                      <w:rFonts w:cs="Arial"/>
                                      <w:color w:val="FFFFFF" w:themeColor="background1"/>
                                      <w:sz w:val="22"/>
                                      <w:szCs w:val="22"/>
                                    </w:rPr>
                                    <w:t xml:space="preserve"> </w:t>
                                  </w:r>
                                  <w:r w:rsidR="001C2DDF">
                                    <w:rPr>
                                      <w:rFonts w:cs="Arial"/>
                                      <w:color w:val="FFFFFF" w:themeColor="background1"/>
                                      <w:sz w:val="22"/>
                                      <w:szCs w:val="22"/>
                                    </w:rPr>
                                    <w:t>F</w:t>
                                  </w:r>
                                  <w:r>
                                    <w:rPr>
                                      <w:rFonts w:cs="Arial"/>
                                      <w:color w:val="FFFFFF" w:themeColor="background1"/>
                                      <w:sz w:val="22"/>
                                      <w:szCs w:val="22"/>
                                    </w:rPr>
                                    <w:t xml:space="preserve"> GBP</w:t>
                                  </w:r>
                                  <w:r w:rsidRPr="00E759CC">
                                    <w:rPr>
                                      <w:rFonts w:cs="Arial"/>
                                      <w:color w:val="FFFFFF"/>
                                      <w:sz w:val="22"/>
                                      <w:szCs w:val="22"/>
                                    </w:rPr>
                                    <w:t xml:space="preserve"> (</w:t>
                                  </w:r>
                                  <w:proofErr w:type="gramStart"/>
                                  <w:r w:rsidRPr="00E759CC">
                                    <w:rPr>
                                      <w:rFonts w:cs="Arial"/>
                                      <w:color w:val="FFFFFF"/>
                                      <w:sz w:val="22"/>
                                      <w:szCs w:val="22"/>
                                    </w:rPr>
                                    <w:t>ISIN:</w:t>
                                  </w:r>
                                  <w:proofErr w:type="gramEnd"/>
                                  <w:r w:rsidRPr="00E759CC">
                                    <w:rPr>
                                      <w:rFonts w:cs="Arial"/>
                                      <w:color w:val="FFFFFF"/>
                                      <w:sz w:val="22"/>
                                      <w:szCs w:val="22"/>
                                    </w:rPr>
                                    <w:t xml:space="preserve"> </w:t>
                                  </w:r>
                                  <w:r w:rsidRPr="00E759CC">
                                    <w:rPr>
                                      <w:rFonts w:cs="Arial"/>
                                      <w:color w:val="FFFFFF"/>
                                      <w:sz w:val="22"/>
                                      <w:szCs w:val="22"/>
                                      <w:lang w:val="en-GB"/>
                                    </w:rPr>
                                    <w:t>IE00BD3VH</w:t>
                                  </w:r>
                                  <w:r>
                                    <w:rPr>
                                      <w:rFonts w:cs="Arial"/>
                                      <w:color w:val="FFFFFF"/>
                                      <w:sz w:val="22"/>
                                      <w:szCs w:val="22"/>
                                      <w:lang w:val="en-GB"/>
                                    </w:rPr>
                                    <w:t>L09</w:t>
                                  </w:r>
                                  <w:r w:rsidRPr="00E759CC">
                                    <w:rPr>
                                      <w:rFonts w:cs="Arial"/>
                                      <w:color w:val="FFFFFF"/>
                                      <w:sz w:val="22"/>
                                      <w:szCs w:val="22"/>
                                    </w:rPr>
                                    <w:t>)</w:t>
                                  </w:r>
                                </w:p>
                              </w:tc>
                              <w:tc>
                                <w:tcPr>
                                  <w:tcW w:w="5333" w:type="dxa"/>
                                </w:tcPr>
                                <w:p w14:paraId="7B774850" w14:textId="3E8CA235" w:rsidR="006A09E7" w:rsidRPr="00E759CC" w:rsidRDefault="006A09E7" w:rsidP="009F3545">
                                  <w:pPr>
                                    <w:spacing w:after="80" w:line="300" w:lineRule="exact"/>
                                    <w:ind w:right="-19"/>
                                    <w:jc w:val="left"/>
                                    <w:rPr>
                                      <w:rFonts w:cs="Arial"/>
                                      <w:color w:val="FFFFFF"/>
                                      <w:sz w:val="22"/>
                                      <w:szCs w:val="22"/>
                                    </w:rPr>
                                  </w:pPr>
                                </w:p>
                              </w:tc>
                            </w:tr>
                          </w:tbl>
                          <w:p w14:paraId="0F84013F" w14:textId="77777777" w:rsidR="006A09E7" w:rsidRPr="003E6915" w:rsidRDefault="006A09E7" w:rsidP="002C6136">
                            <w:pPr>
                              <w:widowControl/>
                              <w:autoSpaceDE w:val="0"/>
                              <w:autoSpaceDN w:val="0"/>
                              <w:adjustRightInd w:val="0"/>
                              <w:spacing w:line="240" w:lineRule="auto"/>
                              <w:jc w:val="left"/>
                              <w:rPr>
                                <w:rFonts w:cs="Arial"/>
                                <w:color w:val="FFFFFF"/>
                                <w:sz w:val="28"/>
                                <w:szCs w:val="25"/>
                              </w:rPr>
                            </w:pPr>
                          </w:p>
                        </w:txbxContent>
                      </wps:txbx>
                      <wps:bodyPr rot="0" vert="horz" wrap="square" lIns="126000" tIns="118800" rIns="12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24pt;width:560.25pt;height:8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" fillcolor="#006747" stroked="f">
                <v:textbox inset="3.5mm,3.3mm,3.5mm,0">
                  <w:txbxContent>
                    <w:p w14:paraId="423A3909" w14:textId="77777777" w:rsidR="006A09E7" w:rsidRPr="00E759CC" w:rsidRDefault="006A09E7" w:rsidP="00E5444F">
                      <w:pPr>
                        <w:autoSpaceDE w:val="0"/>
                        <w:autoSpaceDN w:val="0"/>
                        <w:adjustRightInd w:val="0"/>
                        <w:spacing w:after="60" w:line="228" w:lineRule="auto"/>
                        <w:jc w:val="left"/>
                        <w:rPr>
                          <w:rFonts w:cs="Arial"/>
                          <w:b/>
                          <w:bCs/>
                          <w:color w:val="FFFFFF"/>
                          <w:sz w:val="30"/>
                          <w:szCs w:val="30"/>
                          <w:lang w:val="fr-FR"/>
                        </w:rPr>
                      </w:pPr>
                      <w:r w:rsidRPr="00E759CC">
                        <w:rPr>
                          <w:rFonts w:cs="Arial"/>
                          <w:b/>
                          <w:bCs/>
                          <w:color w:val="FFFFFF"/>
                          <w:sz w:val="30"/>
                          <w:szCs w:val="30"/>
                          <w:lang w:val="en-US"/>
                        </w:rPr>
                        <w:t xml:space="preserve">Chinook Global Convertible Bond Fund (Le Fonds) </w:t>
                      </w:r>
                      <w:r w:rsidRPr="00E759CC">
                        <w:rPr>
                          <w:rFonts w:cs="Arial"/>
                          <w:b/>
                          <w:bCs/>
                          <w:color w:val="FFFFFF"/>
                          <w:sz w:val="30"/>
                          <w:szCs w:val="30"/>
                          <w:lang w:val="fr-FR"/>
                        </w:rPr>
                        <w:t xml:space="preserve">un compartiment de </w:t>
                      </w:r>
                    </w:p>
                    <w:p w14:paraId="6F176501" w14:textId="0E0486EF" w:rsidR="006A09E7" w:rsidRPr="00E759CC" w:rsidRDefault="006A09E7" w:rsidP="00E5444F">
                      <w:pPr>
                        <w:autoSpaceDE w:val="0"/>
                        <w:autoSpaceDN w:val="0"/>
                        <w:adjustRightInd w:val="0"/>
                        <w:spacing w:after="80" w:line="228" w:lineRule="auto"/>
                        <w:jc w:val="left"/>
                        <w:rPr>
                          <w:rFonts w:cs="Arial"/>
                          <w:b/>
                          <w:bCs/>
                          <w:color w:val="FFFFFF"/>
                          <w:sz w:val="30"/>
                          <w:szCs w:val="30"/>
                          <w:lang w:val="en-US"/>
                        </w:rPr>
                      </w:pPr>
                      <w:r w:rsidRPr="00E759CC">
                        <w:rPr>
                          <w:rFonts w:cs="Arial"/>
                          <w:b/>
                          <w:bCs/>
                          <w:color w:val="FFFFFF"/>
                          <w:sz w:val="30"/>
                          <w:szCs w:val="30"/>
                          <w:lang w:val="fr-FR"/>
                        </w:rPr>
                        <w:t>CQS Funds (Ireland) plc (la Société). Le Gestionnaire est KBA Consulting Management Limited (le « Gestionnaire »).</w:t>
                      </w:r>
                    </w:p>
                    <w:tbl>
                      <w:tblPr>
                        <w:tblStyle w:val="TableGrid"/>
                        <w:tblW w:w="10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33"/>
                      </w:tblGrid>
                      <w:tr w:rsidR="006A09E7" w:rsidRPr="003E6915" w14:paraId="55C73248" w14:textId="77777777" w:rsidTr="00E759CC">
                        <w:trPr>
                          <w:trHeight w:val="222"/>
                        </w:trPr>
                        <w:tc>
                          <w:tcPr>
                            <w:tcW w:w="5529" w:type="dxa"/>
                          </w:tcPr>
                          <w:p w14:paraId="2B664235" w14:textId="45F453C9" w:rsidR="006A09E7" w:rsidRPr="00E759CC" w:rsidRDefault="006A09E7" w:rsidP="009F3545">
                            <w:pPr>
                              <w:spacing w:after="80" w:line="300" w:lineRule="exact"/>
                              <w:jc w:val="left"/>
                              <w:rPr>
                                <w:rFonts w:cs="Arial"/>
                                <w:color w:val="FFFFFF"/>
                                <w:sz w:val="22"/>
                                <w:szCs w:val="22"/>
                              </w:rPr>
                            </w:pPr>
                            <w:r w:rsidRPr="00E759CC">
                              <w:rPr>
                                <w:rFonts w:cs="Arial"/>
                                <w:color w:val="FFFFFF"/>
                                <w:sz w:val="22"/>
                                <w:szCs w:val="22"/>
                                <w:lang w:val="fr-FR"/>
                              </w:rPr>
                              <w:t>Actions de Catégorie</w:t>
                            </w:r>
                            <w:r>
                              <w:rPr>
                                <w:rFonts w:cs="Arial"/>
                                <w:color w:val="FFFFFF" w:themeColor="background1"/>
                                <w:sz w:val="22"/>
                                <w:szCs w:val="22"/>
                              </w:rPr>
                              <w:t xml:space="preserve"> </w:t>
                            </w:r>
                            <w:r w:rsidR="001C2DDF">
                              <w:rPr>
                                <w:rFonts w:cs="Arial"/>
                                <w:color w:val="FFFFFF" w:themeColor="background1"/>
                                <w:sz w:val="22"/>
                                <w:szCs w:val="22"/>
                              </w:rPr>
                              <w:t>F</w:t>
                            </w:r>
                            <w:r>
                              <w:rPr>
                                <w:rFonts w:cs="Arial"/>
                                <w:color w:val="FFFFFF" w:themeColor="background1"/>
                                <w:sz w:val="22"/>
                                <w:szCs w:val="22"/>
                              </w:rPr>
                              <w:t xml:space="preserve"> GBP</w:t>
                            </w:r>
                            <w:r w:rsidRPr="00E759CC">
                              <w:rPr>
                                <w:rFonts w:cs="Arial"/>
                                <w:color w:val="FFFFFF"/>
                                <w:sz w:val="22"/>
                                <w:szCs w:val="22"/>
                              </w:rPr>
                              <w:t xml:space="preserve"> (</w:t>
                            </w:r>
                            <w:proofErr w:type="gramStart"/>
                            <w:r w:rsidRPr="00E759CC">
                              <w:rPr>
                                <w:rFonts w:cs="Arial"/>
                                <w:color w:val="FFFFFF"/>
                                <w:sz w:val="22"/>
                                <w:szCs w:val="22"/>
                              </w:rPr>
                              <w:t>ISIN:</w:t>
                            </w:r>
                            <w:proofErr w:type="gramEnd"/>
                            <w:r w:rsidRPr="00E759CC">
                              <w:rPr>
                                <w:rFonts w:cs="Arial"/>
                                <w:color w:val="FFFFFF"/>
                                <w:sz w:val="22"/>
                                <w:szCs w:val="22"/>
                              </w:rPr>
                              <w:t xml:space="preserve"> </w:t>
                            </w:r>
                            <w:r w:rsidRPr="00E759CC">
                              <w:rPr>
                                <w:rFonts w:cs="Arial"/>
                                <w:color w:val="FFFFFF"/>
                                <w:sz w:val="22"/>
                                <w:szCs w:val="22"/>
                                <w:lang w:val="en-GB"/>
                              </w:rPr>
                              <w:t>IE00BD3VH</w:t>
                            </w:r>
                            <w:r>
                              <w:rPr>
                                <w:rFonts w:cs="Arial"/>
                                <w:color w:val="FFFFFF"/>
                                <w:sz w:val="22"/>
                                <w:szCs w:val="22"/>
                                <w:lang w:val="en-GB"/>
                              </w:rPr>
                              <w:t>L09</w:t>
                            </w:r>
                            <w:r w:rsidRPr="00E759CC">
                              <w:rPr>
                                <w:rFonts w:cs="Arial"/>
                                <w:color w:val="FFFFFF"/>
                                <w:sz w:val="22"/>
                                <w:szCs w:val="22"/>
                              </w:rPr>
                              <w:t>)</w:t>
                            </w:r>
                          </w:p>
                        </w:tc>
                        <w:tc>
                          <w:tcPr>
                            <w:tcW w:w="5333" w:type="dxa"/>
                          </w:tcPr>
                          <w:p w14:paraId="7B774850" w14:textId="3E8CA235" w:rsidR="006A09E7" w:rsidRPr="00E759CC" w:rsidRDefault="006A09E7" w:rsidP="009F3545">
                            <w:pPr>
                              <w:spacing w:after="80" w:line="300" w:lineRule="exact"/>
                              <w:ind w:right="-19"/>
                              <w:jc w:val="left"/>
                              <w:rPr>
                                <w:rFonts w:cs="Arial"/>
                                <w:color w:val="FFFFFF"/>
                                <w:sz w:val="22"/>
                                <w:szCs w:val="22"/>
                              </w:rPr>
                            </w:pPr>
                          </w:p>
                        </w:tc>
                      </w:tr>
                    </w:tbl>
                    <w:p w14:paraId="0F84013F" w14:textId="77777777" w:rsidR="006A09E7" w:rsidRPr="003E6915" w:rsidRDefault="006A09E7" w:rsidP="002C6136">
                      <w:pPr>
                        <w:widowControl/>
                        <w:autoSpaceDE w:val="0"/>
                        <w:autoSpaceDN w:val="0"/>
                        <w:adjustRightInd w:val="0"/>
                        <w:spacing w:line="240" w:lineRule="auto"/>
                        <w:jc w:val="left"/>
                        <w:rPr>
                          <w:rFonts w:cs="Arial"/>
                          <w:color w:val="FFFFFF"/>
                          <w:sz w:val="28"/>
                          <w:szCs w:val="25"/>
                        </w:rPr>
                      </w:pPr>
                    </w:p>
                  </w:txbxContent>
                </v:textbox>
                <w10:wrap anchorx="page"/>
              </v:shape>
            </w:pict>
          </mc:Fallback>
        </mc:AlternateContent>
      </w:r>
      <w:r w:rsidR="005D5A1B" w:rsidRPr="009F3545">
        <w:rPr>
          <w:noProof/>
          <w:color w:val="000000"/>
          <w:lang w:val="de-DE" w:eastAsia="ja-JP"/>
        </w:rPr>
        <mc:AlternateContent>
          <mc:Choice Requires="wps">
            <w:drawing>
              <wp:anchor distT="0" distB="0" distL="114300" distR="114300" simplePos="0" relativeHeight="251661312" behindDoc="0" locked="0" layoutInCell="1" allowOverlap="1" wp14:anchorId="34CD893F" wp14:editId="1794689A">
                <wp:simplePos x="0" y="0"/>
                <wp:positionH relativeFrom="page">
                  <wp:posOffset>9525</wp:posOffset>
                </wp:positionH>
                <wp:positionV relativeFrom="paragraph">
                  <wp:posOffset>233045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032D6" id="_x0000_t32" coordsize="21600,21600" o:spt="32" o:oned="t" path="m,l21600,21600e" filled="f">
                <v:path arrowok="t" fillok="f" o:connecttype="none"/>
                <o:lock v:ext="edit" shapetype="t"/>
              </v:shapetype>
              <v:shape id="AutoShape 94" o:spid="_x0000_s1026" type="#_x0000_t32" style="position:absolute;margin-left:.75pt;margin-top:18.3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" strokecolor="#006747" strokeweight="2pt">
                <w10:wrap anchorx="page"/>
              </v:shape>
            </w:pict>
          </mc:Fallback>
        </mc:AlternateContent>
      </w:r>
      <w:r w:rsidR="005D5A1B" w:rsidRPr="009F3545">
        <w:rPr>
          <w:noProof/>
          <w:lang w:val="de-DE" w:eastAsia="ja-JP"/>
        </w:rPr>
        <w:drawing>
          <wp:anchor distT="0" distB="0" distL="114300" distR="114300" simplePos="0" relativeHeight="251703296" behindDoc="0" locked="0" layoutInCell="1" allowOverlap="1" wp14:anchorId="773F256F" wp14:editId="4105129A">
            <wp:simplePos x="0" y="0"/>
            <wp:positionH relativeFrom="column">
              <wp:posOffset>4738370</wp:posOffset>
            </wp:positionH>
            <wp:positionV relativeFrom="paragraph">
              <wp:posOffset>-592455</wp:posOffset>
            </wp:positionV>
            <wp:extent cx="1521460" cy="715010"/>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460" cy="715010"/>
                    </a:xfrm>
                    <a:prstGeom prst="rect">
                      <a:avLst/>
                    </a:prstGeom>
                  </pic:spPr>
                </pic:pic>
              </a:graphicData>
            </a:graphic>
            <wp14:sizeRelH relativeFrom="page">
              <wp14:pctWidth>0</wp14:pctWidth>
            </wp14:sizeRelH>
            <wp14:sizeRelV relativeFrom="page">
              <wp14:pctHeight>0</wp14:pctHeight>
            </wp14:sizeRelV>
          </wp:anchor>
        </w:drawing>
      </w:r>
    </w:p>
    <w:p w14:paraId="5535904C" w14:textId="1F62BB41" w:rsidR="005B6E23" w:rsidRPr="009F3545" w:rsidRDefault="005B6E23">
      <w:pPr>
        <w:rPr>
          <w:lang w:val="fr-FR"/>
        </w:rPr>
      </w:pPr>
    </w:p>
    <w:p w14:paraId="02ED85A9" w14:textId="7FB612C6" w:rsidR="005B6E23" w:rsidRPr="009F3545" w:rsidRDefault="00B83E48">
      <w:pPr>
        <w:widowControl/>
        <w:spacing w:after="160" w:line="259" w:lineRule="auto"/>
        <w:jc w:val="left"/>
        <w:rPr>
          <w:lang w:val="fr-FR"/>
        </w:rPr>
      </w:pPr>
      <w:r w:rsidRPr="009F3545">
        <w:rPr>
          <w:noProof/>
          <w:lang w:val="de-DE" w:eastAsia="ja-JP"/>
        </w:rPr>
        <mc:AlternateContent>
          <mc:Choice Requires="wps">
            <w:drawing>
              <wp:anchor distT="0" distB="0" distL="114300" distR="114300" simplePos="0" relativeHeight="251665408" behindDoc="0" locked="0" layoutInCell="1" allowOverlap="1" wp14:anchorId="09804B6A" wp14:editId="3A19FA08">
                <wp:simplePos x="0" y="0"/>
                <wp:positionH relativeFrom="column">
                  <wp:posOffset>2828925</wp:posOffset>
                </wp:positionH>
                <wp:positionV relativeFrom="paragraph">
                  <wp:posOffset>1076325</wp:posOffset>
                </wp:positionV>
                <wp:extent cx="3667125" cy="318135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18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D419C" w14:textId="1CB9FF37" w:rsidR="006A09E7" w:rsidRDefault="006A09E7" w:rsidP="00B83E48">
                            <w:pPr>
                              <w:pStyle w:val="KIIDtext1"/>
                              <w:spacing w:line="250" w:lineRule="auto"/>
                              <w:rPr>
                                <w:sz w:val="17"/>
                                <w:lang w:val="fr-FR"/>
                              </w:rPr>
                            </w:pPr>
                            <w:r w:rsidRPr="00E5444F">
                              <w:rPr>
                                <w:sz w:val="17"/>
                                <w:lang w:val="fr-FR"/>
                              </w:rPr>
                              <w:t xml:space="preserve">Le Fonds peut également investir dans d’autres titres de dette, des actions, des ERS ou d’autres fonds d’investissement (jusqu’à 10 % de sa valeur liquidative). </w:t>
                            </w:r>
                            <w:r>
                              <w:rPr>
                                <w:sz w:val="17"/>
                                <w:lang w:val="fr-FR"/>
                              </w:rPr>
                              <w:t xml:space="preserve">Les </w:t>
                            </w:r>
                            <w:r w:rsidRPr="00E5444F">
                              <w:rPr>
                                <w:sz w:val="17"/>
                                <w:lang w:val="fr-FR"/>
                              </w:rPr>
                              <w:t>titres de dette</w:t>
                            </w:r>
                            <w:r w:rsidRPr="00794E58">
                              <w:t xml:space="preserve"> </w:t>
                            </w:r>
                            <w:r w:rsidRPr="00794E58">
                              <w:rPr>
                                <w:sz w:val="17"/>
                                <w:lang w:val="fr-FR"/>
                              </w:rPr>
                              <w:t>peuvent être à taux fixe ou flottant et de qualité « investment grade » ou de qualité inférieure ou encore de qualité non notée</w:t>
                            </w:r>
                            <w:r>
                              <w:rPr>
                                <w:sz w:val="17"/>
                                <w:lang w:val="fr-FR"/>
                              </w:rPr>
                              <w:t>.</w:t>
                            </w:r>
                            <w:r w:rsidRPr="0094158C">
                              <w:t xml:space="preserve"> </w:t>
                            </w:r>
                            <w:r w:rsidRPr="0094158C">
                              <w:rPr>
                                <w:sz w:val="17"/>
                                <w:lang w:val="fr-FR"/>
                              </w:rPr>
                              <w:t>De manière générale, le Compartiment détient des actions uniquement lorsqu’il détient un titre convertible qui leur est lié ou lorsque ces actions résultent de la conversion d’un titre convertible</w:t>
                            </w:r>
                            <w:r>
                              <w:rPr>
                                <w:sz w:val="17"/>
                                <w:lang w:val="fr-FR"/>
                              </w:rPr>
                              <w:t>.</w:t>
                            </w:r>
                          </w:p>
                          <w:p w14:paraId="38A31DCF" w14:textId="6FEA2802" w:rsidR="006A09E7" w:rsidRDefault="006A09E7" w:rsidP="000678F6">
                            <w:pPr>
                              <w:pStyle w:val="KIIDtext1"/>
                              <w:spacing w:line="250" w:lineRule="auto"/>
                              <w:rPr>
                                <w:sz w:val="17"/>
                                <w:lang w:val="fr-FR"/>
                              </w:rPr>
                            </w:pPr>
                            <w:r w:rsidRPr="00B83E48">
                              <w:rPr>
                                <w:sz w:val="17"/>
                                <w:lang w:val="fr-FR"/>
                              </w:rPr>
                              <w:t xml:space="preserve">Une partie ou la totalité du revenu net réalisé par le fonds sera distribuée aux investisseurs de cette catégorie d'actions </w:t>
                            </w:r>
                            <w:r w:rsidRPr="000678F6">
                              <w:rPr>
                                <w:sz w:val="17"/>
                                <w:lang w:val="fr-FR"/>
                              </w:rPr>
                              <w:t>une fois par semestre</w:t>
                            </w:r>
                            <w:r>
                              <w:rPr>
                                <w:sz w:val="17"/>
                                <w:lang w:val="fr-FR"/>
                              </w:rPr>
                              <w:t>.</w:t>
                            </w:r>
                          </w:p>
                          <w:p w14:paraId="0C18D259" w14:textId="79B549AD" w:rsidR="006A09E7" w:rsidRPr="00E5444F" w:rsidRDefault="006A09E7" w:rsidP="00B83E48">
                            <w:pPr>
                              <w:pStyle w:val="KIIDtext1"/>
                              <w:spacing w:after="80" w:line="250" w:lineRule="auto"/>
                              <w:rPr>
                                <w:rFonts w:cs="Arial"/>
                                <w:sz w:val="17"/>
                                <w:lang w:val="fr-FR"/>
                              </w:rPr>
                            </w:pPr>
                            <w:r w:rsidRPr="00E5444F">
                              <w:rPr>
                                <w:rFonts w:cs="Arial"/>
                                <w:sz w:val="17"/>
                                <w:lang w:val="fr-FR"/>
                              </w:rPr>
                              <w:t>Les investisseurs peuvent acheter ou vendre des actions tout jour d’ouverture des banques à Dublin et à Londres.</w:t>
                            </w:r>
                          </w:p>
                          <w:p w14:paraId="3387AF92" w14:textId="2621A781" w:rsidR="006A09E7" w:rsidRPr="00E5444F" w:rsidRDefault="006A09E7" w:rsidP="00B83E48">
                            <w:pPr>
                              <w:pStyle w:val="KIIDtext1"/>
                              <w:spacing w:after="80" w:line="250" w:lineRule="auto"/>
                              <w:rPr>
                                <w:rFonts w:cs="Arial"/>
                                <w:sz w:val="17"/>
                                <w:lang w:val="fr-FR"/>
                              </w:rPr>
                            </w:pPr>
                            <w:r w:rsidRPr="00E5444F">
                              <w:rPr>
                                <w:rFonts w:cs="Arial"/>
                                <w:sz w:val="17"/>
                                <w:lang w:val="fr-FR"/>
                              </w:rPr>
                              <w:t>À titre de guide de rendement généralement disponible sur le marché des titres convertibles, le Fonds renvoie à l’indice Refinitiv Global Focus Hedged CB Index (« l’Indice »). Cette référence est donnée à des fins de comparaison uniquement et les écarts entre le Fonds et l’Indice concernant les titres en portefeuille peuvent s’avérer substantiels.</w:t>
                            </w:r>
                          </w:p>
                          <w:p w14:paraId="356E3144" w14:textId="10F3D353" w:rsidR="006A09E7" w:rsidRPr="00E5444F" w:rsidRDefault="006A09E7" w:rsidP="00B83E48">
                            <w:pPr>
                              <w:pStyle w:val="KIIDtext1"/>
                              <w:spacing w:after="80" w:line="250" w:lineRule="auto"/>
                              <w:rPr>
                                <w:rFonts w:cs="Arial"/>
                                <w:bCs/>
                                <w:sz w:val="17"/>
                                <w:lang w:val="fr-FR"/>
                              </w:rPr>
                            </w:pPr>
                            <w:r w:rsidRPr="00E5444F">
                              <w:rPr>
                                <w:rFonts w:cs="Arial"/>
                                <w:bCs/>
                                <w:sz w:val="17"/>
                                <w:lang w:val="fr-FR"/>
                              </w:rPr>
                              <w:t>Pour obtenir des informations complètes sur les objectifs et la politique d’investissement, veuillez consulter les rubriques « Objectifs d’investissement » et « Politiques d’investissement » du supplément du Fonds.</w:t>
                            </w:r>
                          </w:p>
                          <w:p w14:paraId="48289226" w14:textId="24D0AE96" w:rsidR="006A09E7" w:rsidRPr="00283C51" w:rsidRDefault="006A09E7" w:rsidP="00B83E48">
                            <w:pPr>
                              <w:pStyle w:val="KIIDtext1"/>
                              <w:spacing w:after="80" w:line="250"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8" type="#_x0000_t202" style="position:absolute;margin-left:222.75pt;margin-top:84.75pt;width:288.7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PV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" stroked="f">
                <v:textbox>
                  <w:txbxContent>
                    <w:p w14:paraId="3ADD419C" w14:textId="1CB9FF37" w:rsidR="006A09E7" w:rsidRDefault="006A09E7" w:rsidP="00B83E48">
                      <w:pPr>
                        <w:pStyle w:val="KIIDtext1"/>
                        <w:spacing w:line="250" w:lineRule="auto"/>
                        <w:rPr>
                          <w:sz w:val="17"/>
                          <w:lang w:val="fr-FR"/>
                        </w:rPr>
                      </w:pPr>
                      <w:r w:rsidRPr="00E5444F">
                        <w:rPr>
                          <w:sz w:val="17"/>
                          <w:lang w:val="fr-FR"/>
                        </w:rPr>
                        <w:t xml:space="preserve">Le Fonds peut également investir dans d’autres titres de dette, des actions, des ERS ou d’autres fonds d’investissement (jusqu’à 10 % de sa valeur liquidative). </w:t>
                      </w:r>
                      <w:r>
                        <w:rPr>
                          <w:sz w:val="17"/>
                          <w:lang w:val="fr-FR"/>
                        </w:rPr>
                        <w:t xml:space="preserve">Les </w:t>
                      </w:r>
                      <w:r w:rsidRPr="00E5444F">
                        <w:rPr>
                          <w:sz w:val="17"/>
                          <w:lang w:val="fr-FR"/>
                        </w:rPr>
                        <w:t>titres de dette</w:t>
                      </w:r>
                      <w:r w:rsidRPr="00794E58">
                        <w:t xml:space="preserve"> </w:t>
                      </w:r>
                      <w:r w:rsidRPr="00794E58">
                        <w:rPr>
                          <w:sz w:val="17"/>
                          <w:lang w:val="fr-FR"/>
                        </w:rPr>
                        <w:t>peuvent être à taux fixe ou flottant et de qualité « investment grade » ou de qualité inférieure ou encore de qualité non notée</w:t>
                      </w:r>
                      <w:r>
                        <w:rPr>
                          <w:sz w:val="17"/>
                          <w:lang w:val="fr-FR"/>
                        </w:rPr>
                        <w:t>.</w:t>
                      </w:r>
                      <w:r w:rsidRPr="0094158C">
                        <w:t xml:space="preserve"> </w:t>
                      </w:r>
                      <w:r w:rsidRPr="0094158C">
                        <w:rPr>
                          <w:sz w:val="17"/>
                          <w:lang w:val="fr-FR"/>
                        </w:rPr>
                        <w:t>De manière générale, le Compartiment détient des actions uniquement lorsqu’il détient un titre convertible qui leur est lié ou lorsque ces actions résultent de la conversion d’un titre convertible</w:t>
                      </w:r>
                      <w:r>
                        <w:rPr>
                          <w:sz w:val="17"/>
                          <w:lang w:val="fr-FR"/>
                        </w:rPr>
                        <w:t>.</w:t>
                      </w:r>
                    </w:p>
                    <w:p w14:paraId="38A31DCF" w14:textId="6FEA2802" w:rsidR="006A09E7" w:rsidRDefault="006A09E7" w:rsidP="000678F6">
                      <w:pPr>
                        <w:pStyle w:val="KIIDtext1"/>
                        <w:spacing w:line="250" w:lineRule="auto"/>
                        <w:rPr>
                          <w:sz w:val="17"/>
                          <w:lang w:val="fr-FR"/>
                        </w:rPr>
                      </w:pPr>
                      <w:r w:rsidRPr="00B83E48">
                        <w:rPr>
                          <w:sz w:val="17"/>
                          <w:lang w:val="fr-FR"/>
                        </w:rPr>
                        <w:t xml:space="preserve">Une partie ou la totalité du revenu net réalisé par le fonds sera distribuée aux investisseurs de cette catégorie d'actions </w:t>
                      </w:r>
                      <w:r w:rsidRPr="000678F6">
                        <w:rPr>
                          <w:sz w:val="17"/>
                          <w:lang w:val="fr-FR"/>
                        </w:rPr>
                        <w:t>une fois par semestre</w:t>
                      </w:r>
                      <w:r>
                        <w:rPr>
                          <w:sz w:val="17"/>
                          <w:lang w:val="fr-FR"/>
                        </w:rPr>
                        <w:t>.</w:t>
                      </w:r>
                    </w:p>
                    <w:p w14:paraId="0C18D259" w14:textId="79B549AD" w:rsidR="006A09E7" w:rsidRPr="00E5444F" w:rsidRDefault="006A09E7" w:rsidP="00B83E48">
                      <w:pPr>
                        <w:pStyle w:val="KIIDtext1"/>
                        <w:spacing w:after="80" w:line="250" w:lineRule="auto"/>
                        <w:rPr>
                          <w:rFonts w:cs="Arial"/>
                          <w:sz w:val="17"/>
                          <w:lang w:val="fr-FR"/>
                        </w:rPr>
                      </w:pPr>
                      <w:r w:rsidRPr="00E5444F">
                        <w:rPr>
                          <w:rFonts w:cs="Arial"/>
                          <w:sz w:val="17"/>
                          <w:lang w:val="fr-FR"/>
                        </w:rPr>
                        <w:t>Les investisseurs peuvent acheter ou vendre des actions tout jour d’ouverture des banques à Dublin et à Londres.</w:t>
                      </w:r>
                    </w:p>
                    <w:p w14:paraId="3387AF92" w14:textId="2621A781" w:rsidR="006A09E7" w:rsidRPr="00E5444F" w:rsidRDefault="006A09E7" w:rsidP="00B83E48">
                      <w:pPr>
                        <w:pStyle w:val="KIIDtext1"/>
                        <w:spacing w:after="80" w:line="250" w:lineRule="auto"/>
                        <w:rPr>
                          <w:rFonts w:cs="Arial"/>
                          <w:sz w:val="17"/>
                          <w:lang w:val="fr-FR"/>
                        </w:rPr>
                      </w:pPr>
                      <w:r w:rsidRPr="00E5444F">
                        <w:rPr>
                          <w:rFonts w:cs="Arial"/>
                          <w:sz w:val="17"/>
                          <w:lang w:val="fr-FR"/>
                        </w:rPr>
                        <w:t>À titre de guide de rendement généralement disponible sur le marché des titres convertibles, le Fonds renvoie à l’indice Refinitiv Global Focus Hedged CB Index (« l’Indice »). Cette référence est donnée à des fins de comparaison uniquement et les écarts entre le Fonds et l’Indice concernant les titres en portefeuille peuvent s’avérer substantiels.</w:t>
                      </w:r>
                    </w:p>
                    <w:p w14:paraId="356E3144" w14:textId="10F3D353" w:rsidR="006A09E7" w:rsidRPr="00E5444F" w:rsidRDefault="006A09E7" w:rsidP="00B83E48">
                      <w:pPr>
                        <w:pStyle w:val="KIIDtext1"/>
                        <w:spacing w:after="80" w:line="250" w:lineRule="auto"/>
                        <w:rPr>
                          <w:rFonts w:cs="Arial"/>
                          <w:bCs/>
                          <w:sz w:val="17"/>
                          <w:lang w:val="fr-FR"/>
                        </w:rPr>
                      </w:pPr>
                      <w:r w:rsidRPr="00E5444F">
                        <w:rPr>
                          <w:rFonts w:cs="Arial"/>
                          <w:bCs/>
                          <w:sz w:val="17"/>
                          <w:lang w:val="fr-FR"/>
                        </w:rPr>
                        <w:t>Pour obtenir des informations complètes sur les objectifs et la politique d’investissement, veuillez consulter les rubriques « Objectifs d’investissement » et « Politiques d’investissement » du supplément du Fonds.</w:t>
                      </w:r>
                    </w:p>
                    <w:p w14:paraId="48289226" w14:textId="24D0AE96" w:rsidR="006A09E7" w:rsidRPr="00283C51" w:rsidRDefault="006A09E7" w:rsidP="00B83E48">
                      <w:pPr>
                        <w:pStyle w:val="KIIDtext1"/>
                        <w:spacing w:after="80" w:line="250" w:lineRule="auto"/>
                        <w:rPr>
                          <w:rFonts w:cs="Arial"/>
                          <w:sz w:val="17"/>
                        </w:rPr>
                      </w:pPr>
                    </w:p>
                  </w:txbxContent>
                </v:textbox>
              </v:shape>
            </w:pict>
          </mc:Fallback>
        </mc:AlternateContent>
      </w:r>
      <w:r w:rsidRPr="009F3545">
        <w:rPr>
          <w:noProof/>
          <w:lang w:val="de-DE" w:eastAsia="ja-JP"/>
        </w:rPr>
        <mc:AlternateContent>
          <mc:Choice Requires="wps">
            <w:drawing>
              <wp:anchor distT="0" distB="0" distL="114300" distR="114300" simplePos="0" relativeHeight="251664384" behindDoc="0" locked="0" layoutInCell="1" allowOverlap="1" wp14:anchorId="2B2EE4E4" wp14:editId="06FB202F">
                <wp:simplePos x="0" y="0"/>
                <wp:positionH relativeFrom="column">
                  <wp:posOffset>-723900</wp:posOffset>
                </wp:positionH>
                <wp:positionV relativeFrom="paragraph">
                  <wp:posOffset>1295400</wp:posOffset>
                </wp:positionV>
                <wp:extent cx="3552825" cy="299085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95CF0" w14:textId="32E6BAC7" w:rsidR="006A09E7" w:rsidRPr="006D12C9" w:rsidRDefault="006A09E7" w:rsidP="001E2C18">
                            <w:pPr>
                              <w:pStyle w:val="KIIDtext1"/>
                              <w:spacing w:line="250" w:lineRule="auto"/>
                              <w:rPr>
                                <w:sz w:val="17"/>
                                <w:lang w:val="fr-FR"/>
                              </w:rPr>
                            </w:pPr>
                            <w:r w:rsidRPr="006D12C9">
                              <w:rPr>
                                <w:sz w:val="17"/>
                                <w:lang w:val="fr-FR"/>
                              </w:rPr>
                              <w:t>Le Fonds cherche à la fois à se développer et à préserver son capital en gérant un portefeuille principalement constitué de titres convertibles, y compris des ASCOT (instrument financier dérivé (IFD)) ayant un titre convertible comme actif sous-jacent dan</w:t>
                            </w:r>
                            <w:r>
                              <w:rPr>
                                <w:sz w:val="17"/>
                                <w:lang w:val="fr-FR"/>
                              </w:rPr>
                              <w:t>s lequel le Fonds</w:t>
                            </w:r>
                            <w:r w:rsidRPr="006D12C9">
                              <w:rPr>
                                <w:sz w:val="17"/>
                                <w:lang w:val="fr-FR"/>
                              </w:rPr>
                              <w:t xml:space="preserve"> a le droit (sans en avoir l’obligation) d’acheter le titre convertible, le </w:t>
                            </w:r>
                            <w:proofErr w:type="gramStart"/>
                            <w:r w:rsidRPr="006D12C9">
                              <w:rPr>
                                <w:sz w:val="17"/>
                                <w:lang w:val="fr-FR"/>
                              </w:rPr>
                              <w:t>titre  à</w:t>
                            </w:r>
                            <w:proofErr w:type="gramEnd"/>
                            <w:r w:rsidRPr="006D12C9">
                              <w:rPr>
                                <w:sz w:val="17"/>
                                <w:lang w:val="fr-FR"/>
                              </w:rPr>
                              <w:t xml:space="preserve"> revenu fixe ou une participation séparément à un prix et à une date donnés.</w:t>
                            </w:r>
                            <w:r w:rsidRPr="006D12C9">
                              <w:t xml:space="preserve"> </w:t>
                            </w:r>
                            <w:r w:rsidRPr="006D12C9">
                              <w:rPr>
                                <w:sz w:val="17"/>
                                <w:lang w:val="fr-FR"/>
                              </w:rPr>
                              <w:t>Le Compartiment est géré activement et cherche à dégager des rendements supérieurs ou égaux à ceux généralement dégagés sur le marché des titres convertibles</w:t>
                            </w:r>
                            <w:r>
                              <w:rPr>
                                <w:sz w:val="17"/>
                                <w:lang w:val="fr-FR"/>
                              </w:rPr>
                              <w:t xml:space="preserve">, </w:t>
                            </w:r>
                            <w:r w:rsidRPr="006D12C9">
                              <w:rPr>
                                <w:sz w:val="17"/>
                                <w:lang w:val="fr-FR"/>
                              </w:rPr>
                              <w:t xml:space="preserve">d’émetteurs situés partout dans le monde, </w:t>
                            </w:r>
                            <w:r>
                              <w:rPr>
                                <w:sz w:val="17"/>
                                <w:lang w:val="fr-FR"/>
                              </w:rPr>
                              <w:t>y compris</w:t>
                            </w:r>
                            <w:r w:rsidRPr="006D12C9">
                              <w:rPr>
                                <w:sz w:val="17"/>
                                <w:lang w:val="fr-FR"/>
                              </w:rPr>
                              <w:t xml:space="preserve"> dans les marchés émergents</w:t>
                            </w:r>
                          </w:p>
                          <w:p w14:paraId="6F306050" w14:textId="309A078B" w:rsidR="006A09E7" w:rsidRPr="00E759CC" w:rsidRDefault="006A09E7" w:rsidP="00794E58">
                            <w:pPr>
                              <w:pStyle w:val="KIIDtext1"/>
                              <w:spacing w:line="250" w:lineRule="auto"/>
                              <w:rPr>
                                <w:sz w:val="17"/>
                                <w:lang w:val="fr-FR"/>
                              </w:rPr>
                            </w:pPr>
                            <w:r>
                              <w:rPr>
                                <w:sz w:val="17"/>
                                <w:lang w:val="fr-FR"/>
                              </w:rPr>
                              <w:t>Le Fonds</w:t>
                            </w:r>
                            <w:r w:rsidRPr="00E759CC">
                              <w:rPr>
                                <w:sz w:val="17"/>
                                <w:lang w:val="fr-FR"/>
                              </w:rPr>
                              <w:t xml:space="preserve"> peut avoir recours aux produits financiers dérivés à des fins de couverture (une technique visant à protéger les plus-values l</w:t>
                            </w:r>
                            <w:r>
                              <w:rPr>
                                <w:sz w:val="17"/>
                                <w:lang w:val="fr-FR"/>
                              </w:rPr>
                              <w:t>atentes du Fonds</w:t>
                            </w:r>
                            <w:r w:rsidRPr="00E759CC">
                              <w:rPr>
                                <w:sz w:val="17"/>
                                <w:lang w:val="fr-FR"/>
                              </w:rPr>
                              <w:t xml:space="preserve"> en offrant une couverture contre les fluctuations potentiellement défavorables des marchés des titres ou les fluctuations des taux d’intérêt ou des taux de change susceptibles de réduire la valeur de marché du portefeuille d’investi</w:t>
                            </w:r>
                            <w:r>
                              <w:rPr>
                                <w:sz w:val="17"/>
                                <w:lang w:val="fr-FR"/>
                              </w:rPr>
                              <w:t>ssement du Fonds</w:t>
                            </w:r>
                            <w:r w:rsidRPr="00E759CC">
                              <w:rPr>
                                <w:sz w:val="17"/>
                                <w:lang w:val="fr-FR"/>
                              </w:rPr>
                              <w:t>), de gestion efficace du portefeuille ou d</w:t>
                            </w:r>
                            <w:r>
                              <w:rPr>
                                <w:sz w:val="17"/>
                                <w:lang w:val="fr-FR"/>
                              </w:rPr>
                              <w:t>’investissement. Le Fonds</w:t>
                            </w:r>
                            <w:r w:rsidRPr="00E759CC">
                              <w:rPr>
                                <w:sz w:val="17"/>
                                <w:lang w:val="fr-FR"/>
                              </w:rPr>
                              <w:t xml:space="preserve"> peut prendre des positions longues (bénéficiant des hausses de valeur) ou des positions courtes (bénéficiant des baisses de valeur) en ayant recours à des produits financiers dérivés.</w:t>
                            </w:r>
                          </w:p>
                          <w:p w14:paraId="22B69C37" w14:textId="77777777" w:rsidR="006A09E7" w:rsidRPr="00632B5E" w:rsidRDefault="006A09E7" w:rsidP="00794E58">
                            <w:pPr>
                              <w:pStyle w:val="KIIDtext1"/>
                              <w:spacing w:line="250" w:lineRule="auto"/>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7pt;margin-top:102pt;width:279.7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COhwIAABg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" stroked="f">
                <v:textbox>
                  <w:txbxContent>
                    <w:p w14:paraId="57695CF0" w14:textId="32E6BAC7" w:rsidR="006A09E7" w:rsidRPr="006D12C9" w:rsidRDefault="006A09E7" w:rsidP="001E2C18">
                      <w:pPr>
                        <w:pStyle w:val="KIIDtext1"/>
                        <w:spacing w:line="250" w:lineRule="auto"/>
                        <w:rPr>
                          <w:sz w:val="17"/>
                          <w:lang w:val="fr-FR"/>
                        </w:rPr>
                      </w:pPr>
                      <w:r w:rsidRPr="006D12C9">
                        <w:rPr>
                          <w:sz w:val="17"/>
                          <w:lang w:val="fr-FR"/>
                        </w:rPr>
                        <w:t>Le Fonds cherche à la fois à se développer et à préserver son capital en gérant un portefeuille principalement constitué de titres convertibles, y compris des ASCOT (instrument financier dérivé (IFD)) ayant un titre convertible comme actif sous-jacent dan</w:t>
                      </w:r>
                      <w:r>
                        <w:rPr>
                          <w:sz w:val="17"/>
                          <w:lang w:val="fr-FR"/>
                        </w:rPr>
                        <w:t>s lequel le Fonds</w:t>
                      </w:r>
                      <w:r w:rsidRPr="006D12C9">
                        <w:rPr>
                          <w:sz w:val="17"/>
                          <w:lang w:val="fr-FR"/>
                        </w:rPr>
                        <w:t xml:space="preserve"> a le droit (sans en avoir l’obligation) d’acheter le titre convertible, le titre  à revenu fixe ou une participation séparément à un prix et à une date donnés.</w:t>
                      </w:r>
                      <w:r w:rsidRPr="006D12C9">
                        <w:t xml:space="preserve"> </w:t>
                      </w:r>
                      <w:r w:rsidRPr="006D12C9">
                        <w:rPr>
                          <w:sz w:val="17"/>
                          <w:lang w:val="fr-FR"/>
                        </w:rPr>
                        <w:t>Le Compartiment est géré activement et cherche à dégager des rendements supérieurs ou égaux à ceux généralement dégagés sur le marché des titres convertibles</w:t>
                      </w:r>
                      <w:r>
                        <w:rPr>
                          <w:sz w:val="17"/>
                          <w:lang w:val="fr-FR"/>
                        </w:rPr>
                        <w:t xml:space="preserve">, </w:t>
                      </w:r>
                      <w:r w:rsidRPr="006D12C9">
                        <w:rPr>
                          <w:sz w:val="17"/>
                          <w:lang w:val="fr-FR"/>
                        </w:rPr>
                        <w:t xml:space="preserve">d’émetteurs situés partout dans le monde, </w:t>
                      </w:r>
                      <w:r>
                        <w:rPr>
                          <w:sz w:val="17"/>
                          <w:lang w:val="fr-FR"/>
                        </w:rPr>
                        <w:t>y compris</w:t>
                      </w:r>
                      <w:r w:rsidRPr="006D12C9">
                        <w:rPr>
                          <w:sz w:val="17"/>
                          <w:lang w:val="fr-FR"/>
                        </w:rPr>
                        <w:t xml:space="preserve"> dans les marchés émergents</w:t>
                      </w:r>
                    </w:p>
                    <w:p w14:paraId="6F306050" w14:textId="309A078B" w:rsidR="006A09E7" w:rsidRPr="00E759CC" w:rsidRDefault="006A09E7" w:rsidP="00794E58">
                      <w:pPr>
                        <w:pStyle w:val="KIIDtext1"/>
                        <w:spacing w:line="250" w:lineRule="auto"/>
                        <w:rPr>
                          <w:sz w:val="17"/>
                          <w:lang w:val="fr-FR"/>
                        </w:rPr>
                      </w:pPr>
                      <w:r>
                        <w:rPr>
                          <w:sz w:val="17"/>
                          <w:lang w:val="fr-FR"/>
                        </w:rPr>
                        <w:t>Le Fonds</w:t>
                      </w:r>
                      <w:r w:rsidRPr="00E759CC">
                        <w:rPr>
                          <w:sz w:val="17"/>
                          <w:lang w:val="fr-FR"/>
                        </w:rPr>
                        <w:t xml:space="preserve"> peut avoir recours aux produits financiers dérivés à des fins de couverture (une technique visant à protéger les plus-values l</w:t>
                      </w:r>
                      <w:r>
                        <w:rPr>
                          <w:sz w:val="17"/>
                          <w:lang w:val="fr-FR"/>
                        </w:rPr>
                        <w:t>atentes du Fonds</w:t>
                      </w:r>
                      <w:r w:rsidRPr="00E759CC">
                        <w:rPr>
                          <w:sz w:val="17"/>
                          <w:lang w:val="fr-FR"/>
                        </w:rPr>
                        <w:t xml:space="preserve"> en offrant une couverture contre les fluctuations potentiellement défavorables des marchés des titres ou les fluctuations des taux d’intérêt ou des taux de change susceptibles de réduire la valeur de marché du portefeuille d’investi</w:t>
                      </w:r>
                      <w:r>
                        <w:rPr>
                          <w:sz w:val="17"/>
                          <w:lang w:val="fr-FR"/>
                        </w:rPr>
                        <w:t>ssement du Fonds</w:t>
                      </w:r>
                      <w:r w:rsidRPr="00E759CC">
                        <w:rPr>
                          <w:sz w:val="17"/>
                          <w:lang w:val="fr-FR"/>
                        </w:rPr>
                        <w:t>), de gestion efficace du portefeuille ou d</w:t>
                      </w:r>
                      <w:r>
                        <w:rPr>
                          <w:sz w:val="17"/>
                          <w:lang w:val="fr-FR"/>
                        </w:rPr>
                        <w:t>’investissement. Le Fonds</w:t>
                      </w:r>
                      <w:r w:rsidRPr="00E759CC">
                        <w:rPr>
                          <w:sz w:val="17"/>
                          <w:lang w:val="fr-FR"/>
                        </w:rPr>
                        <w:t xml:space="preserve"> peut prendre des positions longues (bénéficiant des hausses de valeur) ou des positions courtes (bénéficiant des baisses de valeur) en ayant recours à des produits financiers dérivés.</w:t>
                      </w:r>
                    </w:p>
                    <w:p w14:paraId="22B69C37" w14:textId="77777777" w:rsidR="006A09E7" w:rsidRPr="00632B5E" w:rsidRDefault="006A09E7" w:rsidP="00794E58">
                      <w:pPr>
                        <w:pStyle w:val="KIIDtext1"/>
                        <w:spacing w:line="250" w:lineRule="auto"/>
                        <w:rPr>
                          <w:sz w:val="17"/>
                        </w:rPr>
                      </w:pPr>
                    </w:p>
                  </w:txbxContent>
                </v:textbox>
              </v:shape>
            </w:pict>
          </mc:Fallback>
        </mc:AlternateContent>
      </w:r>
      <w:r w:rsidR="00F77F68" w:rsidRPr="009F3545">
        <w:rPr>
          <w:noProof/>
          <w:lang w:val="de-DE" w:eastAsia="ja-JP"/>
        </w:rPr>
        <mc:AlternateContent>
          <mc:Choice Requires="wps">
            <w:drawing>
              <wp:anchor distT="0" distB="0" distL="114300" distR="114300" simplePos="0" relativeHeight="251667456" behindDoc="0" locked="0" layoutInCell="1" allowOverlap="1" wp14:anchorId="6762F49B" wp14:editId="4DA59667">
                <wp:simplePos x="0" y="0"/>
                <wp:positionH relativeFrom="column">
                  <wp:posOffset>-638175</wp:posOffset>
                </wp:positionH>
                <wp:positionV relativeFrom="paragraph">
                  <wp:posOffset>4378325</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4089A966" w:rsidR="006A09E7" w:rsidRPr="006F31C1" w:rsidRDefault="006A09E7" w:rsidP="005B6E23">
                            <w:pPr>
                              <w:pStyle w:val="BoldSubHead"/>
                              <w:spacing w:before="0"/>
                            </w:pPr>
                            <w:r w:rsidRPr="00DD58F1">
                              <w:t>Profil de risque et de rendement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0" type="#_x0000_t202" style="position:absolute;margin-left:-50.25pt;margin-top:344.75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" stroked="f">
                <v:textbox>
                  <w:txbxContent>
                    <w:p w14:paraId="6B74D446" w14:textId="4089A966" w:rsidR="006A09E7" w:rsidRPr="006F31C1" w:rsidRDefault="006A09E7" w:rsidP="005B6E23">
                      <w:pPr>
                        <w:pStyle w:val="BoldSubHead"/>
                        <w:spacing w:before="0"/>
                      </w:pPr>
                      <w:r w:rsidRPr="00DD58F1">
                        <w:t>Profil de risque et de rendement</w:t>
                      </w:r>
                    </w:p>
                  </w:txbxContent>
                </v:textbox>
              </v:shape>
            </w:pict>
          </mc:Fallback>
        </mc:AlternateContent>
      </w:r>
      <w:r w:rsidR="006C4396" w:rsidRPr="009F3545">
        <w:rPr>
          <w:noProof/>
          <w:lang w:val="de-DE" w:eastAsia="ja-JP"/>
        </w:rPr>
        <mc:AlternateContent>
          <mc:Choice Requires="wps">
            <w:drawing>
              <wp:anchor distT="0" distB="0" distL="114300" distR="114300" simplePos="0" relativeHeight="251658239" behindDoc="0" locked="0" layoutInCell="1" allowOverlap="1" wp14:anchorId="00B1B62C" wp14:editId="28AD10B1">
                <wp:simplePos x="0" y="0"/>
                <wp:positionH relativeFrom="column">
                  <wp:posOffset>-638175</wp:posOffset>
                </wp:positionH>
                <wp:positionV relativeFrom="paragraph">
                  <wp:posOffset>4619625</wp:posOffset>
                </wp:positionV>
                <wp:extent cx="3314700" cy="958215"/>
                <wp:effectExtent l="0" t="0" r="1905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6A09E7" w:rsidRDefault="006A09E7"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50.25pt;margin-top:363.75pt;width:261pt;height:75.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" filled="f" strokecolor="#006747">
                <v:textbox>
                  <w:txbxContent>
                    <w:p w14:paraId="761AD6B8" w14:textId="77777777" w:rsidR="006A09E7" w:rsidRDefault="006A09E7" w:rsidP="005B6E23"/>
                  </w:txbxContent>
                </v:textbox>
              </v:rect>
            </w:pict>
          </mc:Fallback>
        </mc:AlternateContent>
      </w:r>
      <w:r w:rsidR="005E68A9" w:rsidRPr="009F3545">
        <w:rPr>
          <w:noProof/>
          <w:lang w:val="de-DE" w:eastAsia="ja-JP"/>
        </w:rPr>
        <mc:AlternateContent>
          <mc:Choice Requires="wps">
            <w:drawing>
              <wp:anchor distT="0" distB="0" distL="114300" distR="114300" simplePos="0" relativeHeight="251707392" behindDoc="0" locked="0" layoutInCell="1" allowOverlap="1" wp14:anchorId="7365BF29" wp14:editId="7A217C0C">
                <wp:simplePos x="0" y="0"/>
                <wp:positionH relativeFrom="column">
                  <wp:posOffset>2800350</wp:posOffset>
                </wp:positionH>
                <wp:positionV relativeFrom="paragraph">
                  <wp:posOffset>4448175</wp:posOffset>
                </wp:positionV>
                <wp:extent cx="3695700" cy="43910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39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AA548"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change</w:t>
                            </w:r>
                            <w:r w:rsidRPr="005E68A9">
                              <w:rPr>
                                <w:rFonts w:asciiTheme="minorBidi" w:hAnsiTheme="minorBidi"/>
                                <w:color w:val="5F5F5F"/>
                                <w:sz w:val="17"/>
                                <w:szCs w:val="17"/>
                              </w:rPr>
                              <w:t> : les fluctuations des taux de change peuvent réduire ou augmenter la valeur des actifs non libellés en USD détenus par le Compartiment. Les couvertures de devises pourraient s’avérer inefficaces pour atténuer ces effets.</w:t>
                            </w:r>
                          </w:p>
                          <w:p w14:paraId="7B43984A"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devise de catégorie</w:t>
                            </w:r>
                            <w:r w:rsidRPr="005E68A9">
                              <w:rPr>
                                <w:rFonts w:asciiTheme="minorBidi" w:hAnsiTheme="minorBidi"/>
                                <w:color w:val="5F5F5F"/>
                                <w:sz w:val="17"/>
                                <w:szCs w:val="17"/>
                              </w:rPr>
                              <w:t> : la couverture de devises n’est pas nécessairement efficace pour atténuer les effets des fluctuations de change sur les catégories hors USD.</w:t>
                            </w:r>
                          </w:p>
                          <w:p w14:paraId="6B36469E"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lié aux marchés émergents</w:t>
                            </w:r>
                            <w:r w:rsidRPr="005E68A9">
                              <w:rPr>
                                <w:rFonts w:asciiTheme="minorBidi" w:hAnsiTheme="minorBidi"/>
                                <w:color w:val="5F5F5F"/>
                                <w:sz w:val="17"/>
                                <w:szCs w:val="17"/>
                              </w:rPr>
                              <w:t xml:space="preserve"> : les titres des marchés émergents sont confrontés à des risques sociaux, politiques, réglementaires et de </w:t>
                            </w:r>
                            <w:proofErr w:type="gramStart"/>
                            <w:r w:rsidRPr="005E68A9">
                              <w:rPr>
                                <w:rFonts w:asciiTheme="minorBidi" w:hAnsiTheme="minorBidi"/>
                                <w:color w:val="5F5F5F"/>
                                <w:sz w:val="17"/>
                                <w:szCs w:val="17"/>
                              </w:rPr>
                              <w:t>devise supérieurs</w:t>
                            </w:r>
                            <w:proofErr w:type="gramEnd"/>
                            <w:r w:rsidRPr="005E68A9">
                              <w:rPr>
                                <w:rFonts w:asciiTheme="minorBidi" w:hAnsiTheme="minorBidi"/>
                                <w:color w:val="5F5F5F"/>
                                <w:sz w:val="17"/>
                                <w:szCs w:val="17"/>
                              </w:rPr>
                              <w:t xml:space="preserve"> aux titres des marchés développés.</w:t>
                            </w:r>
                          </w:p>
                          <w:p w14:paraId="1C3FFF6E"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crédit/de contrepartie</w:t>
                            </w:r>
                            <w:r w:rsidRPr="005E68A9">
                              <w:rPr>
                                <w:rFonts w:asciiTheme="minorBidi" w:hAnsiTheme="minorBidi"/>
                                <w:color w:val="5F5F5F"/>
                                <w:sz w:val="17"/>
                                <w:szCs w:val="17"/>
                              </w:rPr>
                              <w:t> : une partie avec laquelle le Compartiment conclut un contrat portant sur des titres ou visant à protéger l’actif du Compartiment peut manquer à ses obligations (p.ex. ne pas payer le principal ou les intérêts ou ne pas régler un instrument financier dérivé) ou encore faire faillite, ce qui peut exposer le Compartiment à une perte financière.</w:t>
                            </w:r>
                          </w:p>
                          <w:p w14:paraId="5E36E551"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liquidité</w:t>
                            </w:r>
                            <w:r w:rsidRPr="005E68A9">
                              <w:rPr>
                                <w:rFonts w:asciiTheme="minorBidi" w:hAnsiTheme="minorBidi"/>
                                <w:color w:val="5F5F5F"/>
                                <w:sz w:val="17"/>
                                <w:szCs w:val="17"/>
                              </w:rPr>
                              <w:t> : il peut exister un nombre insuffisant d’acheteurs ou de vendeurs pour permettre au Compartiment d’acheter ou de vendre rapidement certains types de titres.</w:t>
                            </w:r>
                          </w:p>
                          <w:p w14:paraId="7B0843C4"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lié aux instruments financiers dérivés et à l’effet de levier</w:t>
                            </w:r>
                            <w:r w:rsidRPr="005E68A9">
                              <w:rPr>
                                <w:rFonts w:asciiTheme="minorBidi" w:hAnsiTheme="minorBidi"/>
                                <w:color w:val="5F5F5F"/>
                                <w:sz w:val="17"/>
                                <w:szCs w:val="17"/>
                              </w:rPr>
                              <w:t> : outre le risque de contrepartie, la valeur des instruments financiers dérivés peut fluctuer rapidement et les effets de levier intégrés aux IFD peuvent entraîner des pertes supérieures au montant initial versé pour l’IFD concerné.</w:t>
                            </w:r>
                          </w:p>
                          <w:p w14:paraId="071CB343"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opérationnel</w:t>
                            </w:r>
                            <w:r w:rsidRPr="005E68A9">
                              <w:rPr>
                                <w:rFonts w:asciiTheme="minorBidi" w:hAnsiTheme="minorBidi"/>
                                <w:color w:val="5F5F5F"/>
                                <w:sz w:val="17"/>
                                <w:szCs w:val="17"/>
                              </w:rPr>
                              <w:t> : les erreurs humaines, pannes des systèmes et/ou de processus et procédures ou des mesures de contrôle inadéquates peuvent entraîner des pertes pour le Compartiment.</w:t>
                            </w:r>
                          </w:p>
                          <w:p w14:paraId="43514DF5" w14:textId="74F6BC4F" w:rsidR="006A09E7" w:rsidRPr="005E68A9" w:rsidRDefault="006A09E7" w:rsidP="00B83E48">
                            <w:pPr>
                              <w:pStyle w:val="KIIDtext1"/>
                              <w:spacing w:after="100" w:line="245" w:lineRule="auto"/>
                              <w:rPr>
                                <w:rFonts w:asciiTheme="minorBidi" w:hAnsiTheme="minorBidi" w:cstheme="minorBidi"/>
                                <w:bCs/>
                                <w:sz w:val="17"/>
                                <w:szCs w:val="17"/>
                                <w:lang w:val="fr-FR"/>
                              </w:rPr>
                            </w:pPr>
                            <w:r w:rsidRPr="005E68A9">
                              <w:rPr>
                                <w:rFonts w:asciiTheme="minorBidi" w:hAnsiTheme="minorBidi" w:cstheme="minorBidi"/>
                                <w:bCs/>
                                <w:sz w:val="17"/>
                                <w:szCs w:val="17"/>
                                <w:lang w:val="fr-FR"/>
                              </w:rPr>
                              <w:t>Pour tous les détails relatifs aux risques concernés, veuillez vous rapporter aux sections « Facteurs de risque » du Prospectus et du Supplément.</w:t>
                            </w:r>
                          </w:p>
                          <w:p w14:paraId="73DCC14B" w14:textId="77777777" w:rsidR="006A09E7" w:rsidRPr="00F67ACC" w:rsidRDefault="006A09E7" w:rsidP="00F67ACC">
                            <w:pPr>
                              <w:pStyle w:val="KIIDtext1"/>
                              <w:rPr>
                                <w:rFonts w:cs="Arial"/>
                                <w:bCs/>
                                <w:sz w:val="17"/>
                                <w:lang w:val="en-GB"/>
                              </w:rPr>
                            </w:pPr>
                          </w:p>
                          <w:p w14:paraId="5F0638C3" w14:textId="77777777" w:rsidR="006A09E7" w:rsidRPr="00F67ACC" w:rsidRDefault="006A09E7" w:rsidP="00F67ACC">
                            <w:pPr>
                              <w:pStyle w:val="KIIDtext1"/>
                              <w:rPr>
                                <w:rFonts w:cs="Arial"/>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5BF29" id="_x0000_s1032" type="#_x0000_t202" style="position:absolute;margin-left:220.5pt;margin-top:350.25pt;width:291pt;height:34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DkhA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" stroked="f">
                <v:textbox>
                  <w:txbxContent>
                    <w:p w14:paraId="4A1AA548"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change</w:t>
                      </w:r>
                      <w:r w:rsidRPr="005E68A9">
                        <w:rPr>
                          <w:rFonts w:asciiTheme="minorBidi" w:hAnsiTheme="minorBidi"/>
                          <w:color w:val="5F5F5F"/>
                          <w:sz w:val="17"/>
                          <w:szCs w:val="17"/>
                        </w:rPr>
                        <w:t> : les fluctuations des taux de change peuvent réduire ou augmenter la valeur des actifs non libellés en USD détenus par le Compartiment. Les couvertures de devises pourraient s’avérer inefficaces pour atténuer ces effets.</w:t>
                      </w:r>
                    </w:p>
                    <w:p w14:paraId="7B43984A"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devise de catégorie</w:t>
                      </w:r>
                      <w:r w:rsidRPr="005E68A9">
                        <w:rPr>
                          <w:rFonts w:asciiTheme="minorBidi" w:hAnsiTheme="minorBidi"/>
                          <w:color w:val="5F5F5F"/>
                          <w:sz w:val="17"/>
                          <w:szCs w:val="17"/>
                        </w:rPr>
                        <w:t> : la couverture de devises n’est pas nécessairement efficace pour atténuer les effets des fluctuations de change sur les catégories hors USD.</w:t>
                      </w:r>
                    </w:p>
                    <w:p w14:paraId="6B36469E"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lié aux marchés émergents</w:t>
                      </w:r>
                      <w:r w:rsidRPr="005E68A9">
                        <w:rPr>
                          <w:rFonts w:asciiTheme="minorBidi" w:hAnsiTheme="minorBidi"/>
                          <w:color w:val="5F5F5F"/>
                          <w:sz w:val="17"/>
                          <w:szCs w:val="17"/>
                        </w:rPr>
                        <w:t> : les titres des marchés émergents sont confrontés à des risques sociaux, politiques, réglementaires et de devise supérieurs aux titres des marchés développés.</w:t>
                      </w:r>
                    </w:p>
                    <w:p w14:paraId="1C3FFF6E"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crédit/de contrepartie</w:t>
                      </w:r>
                      <w:r w:rsidRPr="005E68A9">
                        <w:rPr>
                          <w:rFonts w:asciiTheme="minorBidi" w:hAnsiTheme="minorBidi"/>
                          <w:color w:val="5F5F5F"/>
                          <w:sz w:val="17"/>
                          <w:szCs w:val="17"/>
                        </w:rPr>
                        <w:t> : une partie avec laquelle le Compartiment conclut un contrat portant sur des titres ou visant à protéger l’actif du Compartiment peut manquer à ses obligations (p.ex. ne pas payer le principal ou les intérêts ou ne pas régler un instrument financier dérivé) ou encore faire faillite, ce qui peut exposer le Compartiment à une perte financière.</w:t>
                      </w:r>
                    </w:p>
                    <w:p w14:paraId="5E36E551"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liquidité</w:t>
                      </w:r>
                      <w:r w:rsidRPr="005E68A9">
                        <w:rPr>
                          <w:rFonts w:asciiTheme="minorBidi" w:hAnsiTheme="minorBidi"/>
                          <w:color w:val="5F5F5F"/>
                          <w:sz w:val="17"/>
                          <w:szCs w:val="17"/>
                        </w:rPr>
                        <w:t> : il peut exister un nombre insuffisant d’acheteurs ou de vendeurs pour permettre au Compartiment d’acheter ou de vendre rapidement certains types de titres.</w:t>
                      </w:r>
                    </w:p>
                    <w:p w14:paraId="7B0843C4"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lié aux instruments financiers dérivés et à l’effet de levier</w:t>
                      </w:r>
                      <w:r w:rsidRPr="005E68A9">
                        <w:rPr>
                          <w:rFonts w:asciiTheme="minorBidi" w:hAnsiTheme="minorBidi"/>
                          <w:color w:val="5F5F5F"/>
                          <w:sz w:val="17"/>
                          <w:szCs w:val="17"/>
                        </w:rPr>
                        <w:t> : outre le risque de contrepartie, la valeur des instruments financiers dérivés peut fluctuer rapidement et les effets de levier intégrés aux IFD peuvent entraîner des pertes supérieures au montant initial versé pour l’IFD concerné.</w:t>
                      </w:r>
                    </w:p>
                    <w:p w14:paraId="071CB343" w14:textId="77777777" w:rsidR="006A09E7" w:rsidRPr="005E68A9" w:rsidRDefault="006A09E7"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opérationnel</w:t>
                      </w:r>
                      <w:r w:rsidRPr="005E68A9">
                        <w:rPr>
                          <w:rFonts w:asciiTheme="minorBidi" w:hAnsiTheme="minorBidi"/>
                          <w:color w:val="5F5F5F"/>
                          <w:sz w:val="17"/>
                          <w:szCs w:val="17"/>
                        </w:rPr>
                        <w:t> : les erreurs humaines, pannes des systèmes et/ou de processus et procédures ou des mesures de contrôle inadéquates peuvent entraîner des pertes pour le Compartiment.</w:t>
                      </w:r>
                    </w:p>
                    <w:p w14:paraId="43514DF5" w14:textId="74F6BC4F" w:rsidR="006A09E7" w:rsidRPr="005E68A9" w:rsidRDefault="006A09E7" w:rsidP="00B83E48">
                      <w:pPr>
                        <w:pStyle w:val="KIIDtext1"/>
                        <w:spacing w:after="100" w:line="245" w:lineRule="auto"/>
                        <w:rPr>
                          <w:rFonts w:asciiTheme="minorBidi" w:hAnsiTheme="minorBidi" w:cstheme="minorBidi"/>
                          <w:bCs/>
                          <w:sz w:val="17"/>
                          <w:szCs w:val="17"/>
                          <w:lang w:val="fr-FR"/>
                        </w:rPr>
                      </w:pPr>
                      <w:r w:rsidRPr="005E68A9">
                        <w:rPr>
                          <w:rFonts w:asciiTheme="minorBidi" w:hAnsiTheme="minorBidi" w:cstheme="minorBidi"/>
                          <w:bCs/>
                          <w:sz w:val="17"/>
                          <w:szCs w:val="17"/>
                          <w:lang w:val="fr-FR"/>
                        </w:rPr>
                        <w:t>Pour tous les détails relatifs aux risques concernés, veuillez vous rapporter aux sections « Facteurs de risque » du Prospectus et du Supplément.</w:t>
                      </w:r>
                    </w:p>
                    <w:p w14:paraId="73DCC14B" w14:textId="77777777" w:rsidR="006A09E7" w:rsidRPr="00F67ACC" w:rsidRDefault="006A09E7" w:rsidP="00F67ACC">
                      <w:pPr>
                        <w:pStyle w:val="KIIDtext1"/>
                        <w:rPr>
                          <w:rFonts w:cs="Arial"/>
                          <w:bCs/>
                          <w:sz w:val="17"/>
                          <w:lang w:val="en-GB"/>
                        </w:rPr>
                      </w:pPr>
                    </w:p>
                    <w:p w14:paraId="5F0638C3" w14:textId="77777777" w:rsidR="006A09E7" w:rsidRPr="00F67ACC" w:rsidRDefault="006A09E7" w:rsidP="00F67ACC">
                      <w:pPr>
                        <w:pStyle w:val="KIIDtext1"/>
                        <w:rPr>
                          <w:rFonts w:cs="Arial"/>
                          <w:sz w:val="17"/>
                          <w:lang w:val="en-GB"/>
                        </w:rPr>
                      </w:pPr>
                    </w:p>
                  </w:txbxContent>
                </v:textbox>
              </v:shape>
            </w:pict>
          </mc:Fallback>
        </mc:AlternateContent>
      </w:r>
      <w:r w:rsidR="005D5A1B" w:rsidRPr="009F3545">
        <w:rPr>
          <w:noProof/>
          <w:lang w:val="de-DE" w:eastAsia="ja-JP"/>
        </w:rPr>
        <mc:AlternateContent>
          <mc:Choice Requires="wps">
            <w:drawing>
              <wp:anchor distT="0" distB="0" distL="114300" distR="114300" simplePos="0" relativeHeight="251718656" behindDoc="0" locked="0" layoutInCell="1" allowOverlap="1" wp14:anchorId="026219F2" wp14:editId="3166B8BC">
                <wp:simplePos x="0" y="0"/>
                <wp:positionH relativeFrom="column">
                  <wp:posOffset>352425</wp:posOffset>
                </wp:positionH>
                <wp:positionV relativeFrom="paragraph">
                  <wp:posOffset>5181600</wp:posOffset>
                </wp:positionV>
                <wp:extent cx="444500" cy="361950"/>
                <wp:effectExtent l="0" t="0" r="0" b="0"/>
                <wp:wrapNone/>
                <wp:docPr id="30" name="Rectangle 30"/>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09C8B" w14:textId="7D8CC425" w:rsidR="006A09E7" w:rsidRPr="005D5A1B" w:rsidRDefault="006A09E7" w:rsidP="00A66366">
                            <w:pPr>
                              <w:jc w:val="center"/>
                              <w:rPr>
                                <w:b/>
                                <w:bCs/>
                                <w:color w:val="245639"/>
                              </w:rPr>
                            </w:pPr>
                            <w:r w:rsidRPr="005D5A1B">
                              <w:rPr>
                                <w:b/>
                                <w:bCs/>
                                <w:color w:val="245639"/>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219F2" id="Rectangle 30" o:spid="_x0000_s1033" style="position:absolute;margin-left:27.75pt;margin-top:408pt;width:3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" fillcolor="#cbdfd2" stroked="f" strokeweight="1pt">
                <v:textbox>
                  <w:txbxContent>
                    <w:p w14:paraId="30209C8B" w14:textId="7D8CC425" w:rsidR="006A09E7" w:rsidRPr="005D5A1B" w:rsidRDefault="006A09E7" w:rsidP="00A66366">
                      <w:pPr>
                        <w:jc w:val="center"/>
                        <w:rPr>
                          <w:b/>
                          <w:bCs/>
                          <w:color w:val="245639"/>
                        </w:rPr>
                      </w:pPr>
                      <w:r w:rsidRPr="005D5A1B">
                        <w:rPr>
                          <w:b/>
                          <w:bCs/>
                          <w:color w:val="245639"/>
                        </w:rPr>
                        <w:t>3</w:t>
                      </w:r>
                    </w:p>
                  </w:txbxContent>
                </v:textbox>
              </v:rect>
            </w:pict>
          </mc:Fallback>
        </mc:AlternateContent>
      </w:r>
      <w:r w:rsidR="005D5A1B" w:rsidRPr="009F3545">
        <w:rPr>
          <w:noProof/>
          <w:lang w:val="de-DE" w:eastAsia="ja-JP"/>
        </w:rPr>
        <mc:AlternateContent>
          <mc:Choice Requires="wps">
            <w:drawing>
              <wp:anchor distT="0" distB="0" distL="114300" distR="114300" simplePos="0" relativeHeight="251669504" behindDoc="0" locked="0" layoutInCell="1" allowOverlap="1" wp14:anchorId="54F53EE3" wp14:editId="336FE53D">
                <wp:simplePos x="0" y="0"/>
                <wp:positionH relativeFrom="column">
                  <wp:posOffset>-704850</wp:posOffset>
                </wp:positionH>
                <wp:positionV relativeFrom="paragraph">
                  <wp:posOffset>4619625</wp:posOffset>
                </wp:positionV>
                <wp:extent cx="3455035" cy="448627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448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90"/>
                            </w:tblGrid>
                            <w:tr w:rsidR="006A09E7" w:rsidRPr="00731E65" w14:paraId="0AFB0406" w14:textId="77777777" w:rsidTr="00DD58F1">
                              <w:trPr>
                                <w:trHeight w:val="1386"/>
                              </w:trPr>
                              <w:tc>
                                <w:tcPr>
                                  <w:tcW w:w="5090" w:type="dxa"/>
                                  <w:tcBorders>
                                    <w:top w:val="nil"/>
                                    <w:left w:val="nil"/>
                                    <w:bottom w:val="nil"/>
                                    <w:right w:val="nil"/>
                                  </w:tcBorders>
                                  <w:shd w:val="clear" w:color="auto" w:fill="auto"/>
                                </w:tcPr>
                                <w:tbl>
                                  <w:tblPr>
                                    <w:tblW w:w="4973" w:type="dxa"/>
                                    <w:tblInd w:w="23" w:type="dxa"/>
                                    <w:shd w:val="clear" w:color="auto" w:fill="FFFFFF"/>
                                    <w:tblCellMar>
                                      <w:top w:w="85" w:type="dxa"/>
                                      <w:left w:w="0" w:type="dxa"/>
                                      <w:right w:w="0" w:type="dxa"/>
                                    </w:tblCellMar>
                                    <w:tblLook w:val="04A0" w:firstRow="1" w:lastRow="0" w:firstColumn="1" w:lastColumn="0" w:noHBand="0" w:noVBand="1"/>
                                  </w:tblPr>
                                  <w:tblGrid>
                                    <w:gridCol w:w="2104"/>
                                    <w:gridCol w:w="717"/>
                                    <w:gridCol w:w="2152"/>
                                  </w:tblGrid>
                                  <w:tr w:rsidR="006A09E7" w:rsidRPr="00731E65" w14:paraId="262DD0F9" w14:textId="77777777" w:rsidTr="00731E65">
                                    <w:trPr>
                                      <w:trHeight w:val="145"/>
                                    </w:trPr>
                                    <w:tc>
                                      <w:tcPr>
                                        <w:tcW w:w="2104" w:type="dxa"/>
                                        <w:shd w:val="clear" w:color="auto" w:fill="auto"/>
                                        <w:vAlign w:val="bottom"/>
                                      </w:tcPr>
                                      <w:p w14:paraId="133E9D68" w14:textId="32B195D2" w:rsidR="006A09E7" w:rsidRPr="00731E65" w:rsidRDefault="006A09E7" w:rsidP="00731E65">
                                        <w:pPr>
                                          <w:autoSpaceDE w:val="0"/>
                                          <w:autoSpaceDN w:val="0"/>
                                          <w:adjustRightInd w:val="0"/>
                                          <w:spacing w:line="240" w:lineRule="auto"/>
                                          <w:jc w:val="left"/>
                                          <w:rPr>
                                            <w:rFonts w:cs="Arial"/>
                                            <w:i/>
                                            <w:color w:val="8C8984"/>
                                            <w:sz w:val="16"/>
                                            <w:szCs w:val="16"/>
                                            <w:lang w:val="fr-FR"/>
                                          </w:rPr>
                                        </w:pPr>
                                        <w:r w:rsidRPr="00731E65">
                                          <w:rPr>
                                            <w:rFonts w:cs="Arial"/>
                                            <w:b/>
                                            <w:i/>
                                            <w:color w:val="006747"/>
                                            <w:sz w:val="16"/>
                                            <w:szCs w:val="16"/>
                                            <w:lang w:val="fr-FR"/>
                                          </w:rPr>
                                          <w:t>Risque moins élevé</w:t>
                                        </w:r>
                                      </w:p>
                                    </w:tc>
                                    <w:tc>
                                      <w:tcPr>
                                        <w:tcW w:w="717" w:type="dxa"/>
                                        <w:shd w:val="clear" w:color="auto" w:fill="auto"/>
                                        <w:vAlign w:val="bottom"/>
                                      </w:tcPr>
                                      <w:p w14:paraId="6429697C" w14:textId="77777777" w:rsidR="006A09E7" w:rsidRPr="00731E65" w:rsidRDefault="006A09E7" w:rsidP="00546DEE">
                                        <w:pPr>
                                          <w:autoSpaceDE w:val="0"/>
                                          <w:autoSpaceDN w:val="0"/>
                                          <w:adjustRightInd w:val="0"/>
                                          <w:spacing w:line="240" w:lineRule="auto"/>
                                          <w:jc w:val="center"/>
                                          <w:rPr>
                                            <w:rFonts w:cs="Arial"/>
                                            <w:i/>
                                            <w:color w:val="8C8984"/>
                                            <w:sz w:val="16"/>
                                            <w:szCs w:val="16"/>
                                            <w:lang w:val="fr-FR"/>
                                          </w:rPr>
                                        </w:pPr>
                                      </w:p>
                                    </w:tc>
                                    <w:tc>
                                      <w:tcPr>
                                        <w:tcW w:w="2152" w:type="dxa"/>
                                        <w:shd w:val="clear" w:color="auto" w:fill="auto"/>
                                        <w:vAlign w:val="bottom"/>
                                      </w:tcPr>
                                      <w:p w14:paraId="760E85BE" w14:textId="280C6C7B" w:rsidR="006A09E7" w:rsidRPr="00731E65" w:rsidRDefault="006A09E7" w:rsidP="00731E65">
                                        <w:pPr>
                                          <w:autoSpaceDE w:val="0"/>
                                          <w:autoSpaceDN w:val="0"/>
                                          <w:adjustRightInd w:val="0"/>
                                          <w:spacing w:line="240" w:lineRule="auto"/>
                                          <w:ind w:right="252"/>
                                          <w:jc w:val="right"/>
                                          <w:rPr>
                                            <w:rFonts w:cs="Arial"/>
                                            <w:b/>
                                            <w:i/>
                                            <w:color w:val="006747"/>
                                            <w:sz w:val="16"/>
                                            <w:szCs w:val="16"/>
                                            <w:lang w:val="fr-FR"/>
                                          </w:rPr>
                                        </w:pPr>
                                        <w:r w:rsidRPr="00731E65">
                                          <w:rPr>
                                            <w:rFonts w:cs="Arial"/>
                                            <w:b/>
                                            <w:i/>
                                            <w:color w:val="006747"/>
                                            <w:sz w:val="16"/>
                                            <w:szCs w:val="16"/>
                                            <w:lang w:val="fr-FR"/>
                                          </w:rPr>
                                          <w:t>Risque plus élevé</w:t>
                                        </w:r>
                                      </w:p>
                                    </w:tc>
                                  </w:tr>
                                  <w:tr w:rsidR="006A09E7" w:rsidRPr="00731E65" w14:paraId="7E4321A5" w14:textId="77777777" w:rsidTr="00731E65">
                                    <w:trPr>
                                      <w:trHeight w:val="17"/>
                                    </w:trPr>
                                    <w:tc>
                                      <w:tcPr>
                                        <w:tcW w:w="2104" w:type="dxa"/>
                                        <w:shd w:val="clear" w:color="auto" w:fill="auto"/>
                                        <w:vAlign w:val="bottom"/>
                                      </w:tcPr>
                                      <w:p w14:paraId="661F4071" w14:textId="6605C1B9" w:rsidR="006A09E7" w:rsidRPr="00731E65" w:rsidRDefault="006A09E7" w:rsidP="00731E65">
                                        <w:pPr>
                                          <w:autoSpaceDE w:val="0"/>
                                          <w:autoSpaceDN w:val="0"/>
                                          <w:adjustRightInd w:val="0"/>
                                          <w:spacing w:line="240" w:lineRule="auto"/>
                                          <w:jc w:val="left"/>
                                          <w:rPr>
                                            <w:rFonts w:cs="Arial"/>
                                            <w:i/>
                                            <w:color w:val="8C8984"/>
                                            <w:sz w:val="16"/>
                                            <w:szCs w:val="16"/>
                                            <w:lang w:val="fr-FR"/>
                                          </w:rPr>
                                        </w:pPr>
                                        <w:r w:rsidRPr="00731E65">
                                          <w:rPr>
                                            <w:rFonts w:cs="Arial"/>
                                            <w:b/>
                                            <w:i/>
                                            <w:color w:val="006747"/>
                                            <w:sz w:val="16"/>
                                            <w:szCs w:val="16"/>
                                            <w:lang w:val="fr-FR"/>
                                          </w:rPr>
                                          <w:t>Rendement généralement plus faible</w:t>
                                        </w:r>
                                      </w:p>
                                    </w:tc>
                                    <w:tc>
                                      <w:tcPr>
                                        <w:tcW w:w="717" w:type="dxa"/>
                                        <w:shd w:val="clear" w:color="auto" w:fill="auto"/>
                                        <w:vAlign w:val="bottom"/>
                                      </w:tcPr>
                                      <w:p w14:paraId="57F81ADF" w14:textId="77777777" w:rsidR="006A09E7" w:rsidRPr="00731E65" w:rsidRDefault="006A09E7" w:rsidP="00546DEE">
                                        <w:pPr>
                                          <w:autoSpaceDE w:val="0"/>
                                          <w:autoSpaceDN w:val="0"/>
                                          <w:adjustRightInd w:val="0"/>
                                          <w:spacing w:line="240" w:lineRule="auto"/>
                                          <w:jc w:val="center"/>
                                          <w:rPr>
                                            <w:rFonts w:cs="Arial"/>
                                            <w:i/>
                                            <w:color w:val="8C8984"/>
                                            <w:sz w:val="16"/>
                                            <w:szCs w:val="16"/>
                                            <w:lang w:val="fr-FR"/>
                                          </w:rPr>
                                        </w:pPr>
                                      </w:p>
                                    </w:tc>
                                    <w:tc>
                                      <w:tcPr>
                                        <w:tcW w:w="2152" w:type="dxa"/>
                                        <w:shd w:val="clear" w:color="auto" w:fill="auto"/>
                                        <w:vAlign w:val="bottom"/>
                                      </w:tcPr>
                                      <w:p w14:paraId="642BC576" w14:textId="04458520" w:rsidR="006A09E7" w:rsidRPr="00731E65" w:rsidRDefault="006A09E7" w:rsidP="00731E65">
                                        <w:pPr>
                                          <w:autoSpaceDE w:val="0"/>
                                          <w:autoSpaceDN w:val="0"/>
                                          <w:adjustRightInd w:val="0"/>
                                          <w:spacing w:line="240" w:lineRule="auto"/>
                                          <w:ind w:right="110"/>
                                          <w:jc w:val="right"/>
                                          <w:rPr>
                                            <w:rFonts w:cs="Arial"/>
                                            <w:b/>
                                            <w:i/>
                                            <w:color w:val="006747"/>
                                            <w:sz w:val="16"/>
                                            <w:szCs w:val="16"/>
                                            <w:lang w:val="fr-FR"/>
                                          </w:rPr>
                                        </w:pPr>
                                        <w:r w:rsidRPr="00731E65">
                                          <w:rPr>
                                            <w:rFonts w:cs="Arial"/>
                                            <w:b/>
                                            <w:i/>
                                            <w:color w:val="006747"/>
                                            <w:sz w:val="16"/>
                                            <w:szCs w:val="16"/>
                                            <w:lang w:val="fr-FR"/>
                                          </w:rPr>
                                          <w:t xml:space="preserve">Rendement généralement plus </w:t>
                                        </w:r>
                                        <w:r>
                                          <w:rPr>
                                            <w:rFonts w:cs="Arial"/>
                                            <w:b/>
                                            <w:i/>
                                            <w:color w:val="006747"/>
                                            <w:sz w:val="16"/>
                                            <w:szCs w:val="16"/>
                                            <w:lang w:val="fr-FR"/>
                                          </w:rPr>
                                          <w:t>élevé</w:t>
                                        </w:r>
                                      </w:p>
                                    </w:tc>
                                  </w:tr>
                                </w:tbl>
                                <w:p w14:paraId="331014CE" w14:textId="77777777" w:rsidR="006A09E7" w:rsidRPr="00731E65" w:rsidRDefault="006A09E7" w:rsidP="00546DEE">
                                  <w:pPr>
                                    <w:tabs>
                                      <w:tab w:val="left" w:pos="2268"/>
                                    </w:tabs>
                                    <w:autoSpaceDE w:val="0"/>
                                    <w:autoSpaceDN w:val="0"/>
                                    <w:adjustRightInd w:val="0"/>
                                    <w:spacing w:before="80" w:after="60" w:line="240" w:lineRule="auto"/>
                                    <w:rPr>
                                      <w:rFonts w:ascii="Gill Sans MT" w:hAnsi="Gill Sans MT"/>
                                      <w:color w:val="FFFFFF"/>
                                      <w:sz w:val="16"/>
                                      <w:szCs w:val="16"/>
                                      <w:lang w:val="fr-FR"/>
                                    </w:rPr>
                                  </w:pPr>
                                </w:p>
                              </w:tc>
                            </w:tr>
                          </w:tbl>
                          <w:p w14:paraId="0F624FDA" w14:textId="4771E305" w:rsidR="006A09E7" w:rsidRPr="00731E65" w:rsidRDefault="006A09E7" w:rsidP="00731E65">
                            <w:pPr>
                              <w:pStyle w:val="KIIDtext1"/>
                              <w:spacing w:before="120" w:line="240" w:lineRule="auto"/>
                              <w:rPr>
                                <w:sz w:val="17"/>
                                <w:lang w:val="fr-FR"/>
                              </w:rPr>
                            </w:pPr>
                            <w:r w:rsidRPr="00731E65">
                              <w:rPr>
                                <w:sz w:val="17"/>
                                <w:lang w:val="fr-FR"/>
                              </w:rPr>
                              <w:t>Le Fonds est classé dans la catégorie 5 car les cours des actifs qu’il s’attend à détenir sont traditionnellement soumis à des fluctuations modérées à élevées. Il n’est pas garanti que cette catégorie n’évoluera pas au fil du temps. Ce classement se base sur les performances antérieures et les performances simulées et pourrait ne pas constituer une indication fiable du profil de risque du Fonds à l’avenir. La catégorie la plus faible n’est pas dépourvue de risque. Le cours du Fonds peut chuter aussi bien qu’augmenter. Il est possible que vous ne puissiez jamais recouvrer le montant initial investi.</w:t>
                            </w:r>
                          </w:p>
                          <w:p w14:paraId="499E1185" w14:textId="392D8883" w:rsidR="006A09E7" w:rsidRPr="00731E65" w:rsidRDefault="006A09E7" w:rsidP="00731E65">
                            <w:pPr>
                              <w:pStyle w:val="KIIDtext1"/>
                              <w:spacing w:line="240" w:lineRule="auto"/>
                              <w:rPr>
                                <w:sz w:val="17"/>
                                <w:lang w:val="fr-FR"/>
                              </w:rPr>
                            </w:pPr>
                            <w:r w:rsidRPr="00731E65">
                              <w:rPr>
                                <w:sz w:val="17"/>
                                <w:lang w:val="fr-FR"/>
                              </w:rPr>
                              <w:t>Le Fonds est exposé à des risques supplémentaires non pris en compte par l’indicateur de risque, notamment, sans s’y limiter :</w:t>
                            </w:r>
                          </w:p>
                          <w:p w14:paraId="5013056A" w14:textId="34FDA9FE" w:rsidR="006A09E7" w:rsidRPr="00731E65" w:rsidRDefault="006A09E7" w:rsidP="00731E65">
                            <w:pPr>
                              <w:pStyle w:val="KIIDtext1"/>
                              <w:spacing w:line="240" w:lineRule="auto"/>
                              <w:rPr>
                                <w:sz w:val="17"/>
                                <w:lang w:val="fr-FR"/>
                              </w:rPr>
                            </w:pPr>
                            <w:r w:rsidRPr="00731E65">
                              <w:rPr>
                                <w:b/>
                                <w:bCs/>
                                <w:sz w:val="17"/>
                                <w:lang w:val="fr-FR"/>
                              </w:rPr>
                              <w:t>Risque lié aux titres convertibles</w:t>
                            </w:r>
                            <w:r w:rsidRPr="00731E65">
                              <w:rPr>
                                <w:sz w:val="17"/>
                                <w:lang w:val="fr-FR"/>
                              </w:rPr>
                              <w:t xml:space="preserve"> : les titres convertibles exposent le Fonds au risque que l’émetteur de la partie du titre en actions privilégiées ou à revenu fixe ne remplisse pas ses obligations aussi bien que l’action sous-jacente dans laquelle ces titres peuvent être convertis.</w:t>
                            </w:r>
                          </w:p>
                          <w:p w14:paraId="04C39525" w14:textId="77777777" w:rsidR="006A09E7" w:rsidRPr="00731E65" w:rsidRDefault="006A09E7" w:rsidP="00546DEE">
                            <w:pPr>
                              <w:pStyle w:val="KIIDtext1"/>
                              <w:spacing w:line="240" w:lineRule="auto"/>
                              <w:rPr>
                                <w:sz w:val="17"/>
                                <w:lang w:val="fr-FR"/>
                              </w:rPr>
                            </w:pPr>
                            <w:r w:rsidRPr="00731E65">
                              <w:rPr>
                                <w:b/>
                                <w:bCs/>
                                <w:sz w:val="17"/>
                                <w:lang w:val="fr-FR"/>
                              </w:rPr>
                              <w:t>Risque de notation de crédit</w:t>
                            </w:r>
                            <w:r w:rsidRPr="00731E65">
                              <w:rPr>
                                <w:sz w:val="17"/>
                                <w:lang w:val="fr-FR"/>
                              </w:rPr>
                              <w:t xml:space="preserve"> : les titres inférieurs à la note « investment grade » et certains titres non notés sont plus sensibles aux développements économiques, réglementaires et sociaux et présentent un risque de liquidité plus important.</w:t>
                            </w:r>
                          </w:p>
                          <w:p w14:paraId="5C2434DC" w14:textId="34E32551" w:rsidR="006A09E7" w:rsidRPr="00731E65" w:rsidRDefault="006A09E7" w:rsidP="00731E65">
                            <w:pPr>
                              <w:pStyle w:val="KIIDtext1"/>
                              <w:spacing w:line="240" w:lineRule="auto"/>
                              <w:rPr>
                                <w:rFonts w:cs="Arial"/>
                                <w:sz w:val="17"/>
                                <w:lang w:val="fr-FR"/>
                              </w:rPr>
                            </w:pPr>
                            <w:r w:rsidRPr="00731E65">
                              <w:rPr>
                                <w:b/>
                                <w:bCs/>
                                <w:sz w:val="17"/>
                                <w:lang w:val="fr-FR"/>
                              </w:rPr>
                              <w:t>Risque lié aux titres de dette</w:t>
                            </w:r>
                            <w:r w:rsidRPr="00731E65">
                              <w:rPr>
                                <w:sz w:val="17"/>
                                <w:lang w:val="fr-FR"/>
                              </w:rPr>
                              <w:t xml:space="preserve"> : la fluctuation des taux d’intérêts et de la qualité du crédit peut </w:t>
                            </w:r>
                            <w:proofErr w:type="gramStart"/>
                            <w:r w:rsidRPr="00731E65">
                              <w:rPr>
                                <w:sz w:val="17"/>
                                <w:lang w:val="fr-FR"/>
                              </w:rPr>
                              <w:t>avoir</w:t>
                            </w:r>
                            <w:proofErr w:type="gramEnd"/>
                            <w:r w:rsidRPr="00731E65">
                              <w:rPr>
                                <w:sz w:val="17"/>
                                <w:lang w:val="fr-FR"/>
                              </w:rPr>
                              <w:t xml:space="preserve"> des conséquences défavorables sur le Fonds</w:t>
                            </w:r>
                            <w:r w:rsidRPr="00731E65">
                              <w:rPr>
                                <w:rFonts w:cs="Arial"/>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4" type="#_x0000_t202" style="position:absolute;margin-left:-55.5pt;margin-top:363.75pt;width:272.05pt;height:3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" stroked="f">
                <v:textbox>
                  <w:txbxContent>
                    <w:tbl>
                      <w:tblPr>
                        <w:tblW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90"/>
                      </w:tblGrid>
                      <w:tr w:rsidR="006A09E7" w:rsidRPr="00731E65" w14:paraId="0AFB0406" w14:textId="77777777" w:rsidTr="00DD58F1">
                        <w:trPr>
                          <w:trHeight w:val="1386"/>
                        </w:trPr>
                        <w:tc>
                          <w:tcPr>
                            <w:tcW w:w="5090" w:type="dxa"/>
                            <w:tcBorders>
                              <w:top w:val="nil"/>
                              <w:left w:val="nil"/>
                              <w:bottom w:val="nil"/>
                              <w:right w:val="nil"/>
                            </w:tcBorders>
                            <w:shd w:val="clear" w:color="auto" w:fill="auto"/>
                          </w:tcPr>
                          <w:tbl>
                            <w:tblPr>
                              <w:tblW w:w="4973" w:type="dxa"/>
                              <w:tblInd w:w="23" w:type="dxa"/>
                              <w:shd w:val="clear" w:color="auto" w:fill="FFFFFF"/>
                              <w:tblCellMar>
                                <w:top w:w="85" w:type="dxa"/>
                                <w:left w:w="0" w:type="dxa"/>
                                <w:right w:w="0" w:type="dxa"/>
                              </w:tblCellMar>
                              <w:tblLook w:val="04A0" w:firstRow="1" w:lastRow="0" w:firstColumn="1" w:lastColumn="0" w:noHBand="0" w:noVBand="1"/>
                            </w:tblPr>
                            <w:tblGrid>
                              <w:gridCol w:w="2104"/>
                              <w:gridCol w:w="717"/>
                              <w:gridCol w:w="2152"/>
                            </w:tblGrid>
                            <w:tr w:rsidR="006A09E7" w:rsidRPr="00731E65" w14:paraId="262DD0F9" w14:textId="77777777" w:rsidTr="00731E65">
                              <w:trPr>
                                <w:trHeight w:val="145"/>
                              </w:trPr>
                              <w:tc>
                                <w:tcPr>
                                  <w:tcW w:w="2104" w:type="dxa"/>
                                  <w:shd w:val="clear" w:color="auto" w:fill="auto"/>
                                  <w:vAlign w:val="bottom"/>
                                </w:tcPr>
                                <w:p w14:paraId="133E9D68" w14:textId="32B195D2" w:rsidR="006A09E7" w:rsidRPr="00731E65" w:rsidRDefault="006A09E7" w:rsidP="00731E65">
                                  <w:pPr>
                                    <w:autoSpaceDE w:val="0"/>
                                    <w:autoSpaceDN w:val="0"/>
                                    <w:adjustRightInd w:val="0"/>
                                    <w:spacing w:line="240" w:lineRule="auto"/>
                                    <w:jc w:val="left"/>
                                    <w:rPr>
                                      <w:rFonts w:cs="Arial"/>
                                      <w:i/>
                                      <w:color w:val="8C8984"/>
                                      <w:sz w:val="16"/>
                                      <w:szCs w:val="16"/>
                                      <w:lang w:val="fr-FR"/>
                                    </w:rPr>
                                  </w:pPr>
                                  <w:r w:rsidRPr="00731E65">
                                    <w:rPr>
                                      <w:rFonts w:cs="Arial"/>
                                      <w:b/>
                                      <w:i/>
                                      <w:color w:val="006747"/>
                                      <w:sz w:val="16"/>
                                      <w:szCs w:val="16"/>
                                      <w:lang w:val="fr-FR"/>
                                    </w:rPr>
                                    <w:t>Risque moins élevé</w:t>
                                  </w:r>
                                </w:p>
                              </w:tc>
                              <w:tc>
                                <w:tcPr>
                                  <w:tcW w:w="717" w:type="dxa"/>
                                  <w:shd w:val="clear" w:color="auto" w:fill="auto"/>
                                  <w:vAlign w:val="bottom"/>
                                </w:tcPr>
                                <w:p w14:paraId="6429697C" w14:textId="77777777" w:rsidR="006A09E7" w:rsidRPr="00731E65" w:rsidRDefault="006A09E7" w:rsidP="00546DEE">
                                  <w:pPr>
                                    <w:autoSpaceDE w:val="0"/>
                                    <w:autoSpaceDN w:val="0"/>
                                    <w:adjustRightInd w:val="0"/>
                                    <w:spacing w:line="240" w:lineRule="auto"/>
                                    <w:jc w:val="center"/>
                                    <w:rPr>
                                      <w:rFonts w:cs="Arial"/>
                                      <w:i/>
                                      <w:color w:val="8C8984"/>
                                      <w:sz w:val="16"/>
                                      <w:szCs w:val="16"/>
                                      <w:lang w:val="fr-FR"/>
                                    </w:rPr>
                                  </w:pPr>
                                </w:p>
                              </w:tc>
                              <w:tc>
                                <w:tcPr>
                                  <w:tcW w:w="2152" w:type="dxa"/>
                                  <w:shd w:val="clear" w:color="auto" w:fill="auto"/>
                                  <w:vAlign w:val="bottom"/>
                                </w:tcPr>
                                <w:p w14:paraId="760E85BE" w14:textId="280C6C7B" w:rsidR="006A09E7" w:rsidRPr="00731E65" w:rsidRDefault="006A09E7" w:rsidP="00731E65">
                                  <w:pPr>
                                    <w:autoSpaceDE w:val="0"/>
                                    <w:autoSpaceDN w:val="0"/>
                                    <w:adjustRightInd w:val="0"/>
                                    <w:spacing w:line="240" w:lineRule="auto"/>
                                    <w:ind w:right="252"/>
                                    <w:jc w:val="right"/>
                                    <w:rPr>
                                      <w:rFonts w:cs="Arial"/>
                                      <w:b/>
                                      <w:i/>
                                      <w:color w:val="006747"/>
                                      <w:sz w:val="16"/>
                                      <w:szCs w:val="16"/>
                                      <w:lang w:val="fr-FR"/>
                                    </w:rPr>
                                  </w:pPr>
                                  <w:r w:rsidRPr="00731E65">
                                    <w:rPr>
                                      <w:rFonts w:cs="Arial"/>
                                      <w:b/>
                                      <w:i/>
                                      <w:color w:val="006747"/>
                                      <w:sz w:val="16"/>
                                      <w:szCs w:val="16"/>
                                      <w:lang w:val="fr-FR"/>
                                    </w:rPr>
                                    <w:t>Risque plus élevé</w:t>
                                  </w:r>
                                </w:p>
                              </w:tc>
                            </w:tr>
                            <w:tr w:rsidR="006A09E7" w:rsidRPr="00731E65" w14:paraId="7E4321A5" w14:textId="77777777" w:rsidTr="00731E65">
                              <w:trPr>
                                <w:trHeight w:val="17"/>
                              </w:trPr>
                              <w:tc>
                                <w:tcPr>
                                  <w:tcW w:w="2104" w:type="dxa"/>
                                  <w:shd w:val="clear" w:color="auto" w:fill="auto"/>
                                  <w:vAlign w:val="bottom"/>
                                </w:tcPr>
                                <w:p w14:paraId="661F4071" w14:textId="6605C1B9" w:rsidR="006A09E7" w:rsidRPr="00731E65" w:rsidRDefault="006A09E7" w:rsidP="00731E65">
                                  <w:pPr>
                                    <w:autoSpaceDE w:val="0"/>
                                    <w:autoSpaceDN w:val="0"/>
                                    <w:adjustRightInd w:val="0"/>
                                    <w:spacing w:line="240" w:lineRule="auto"/>
                                    <w:jc w:val="left"/>
                                    <w:rPr>
                                      <w:rFonts w:cs="Arial"/>
                                      <w:i/>
                                      <w:color w:val="8C8984"/>
                                      <w:sz w:val="16"/>
                                      <w:szCs w:val="16"/>
                                      <w:lang w:val="fr-FR"/>
                                    </w:rPr>
                                  </w:pPr>
                                  <w:r w:rsidRPr="00731E65">
                                    <w:rPr>
                                      <w:rFonts w:cs="Arial"/>
                                      <w:b/>
                                      <w:i/>
                                      <w:color w:val="006747"/>
                                      <w:sz w:val="16"/>
                                      <w:szCs w:val="16"/>
                                      <w:lang w:val="fr-FR"/>
                                    </w:rPr>
                                    <w:t>Rendement généralement plus faible</w:t>
                                  </w:r>
                                </w:p>
                              </w:tc>
                              <w:tc>
                                <w:tcPr>
                                  <w:tcW w:w="717" w:type="dxa"/>
                                  <w:shd w:val="clear" w:color="auto" w:fill="auto"/>
                                  <w:vAlign w:val="bottom"/>
                                </w:tcPr>
                                <w:p w14:paraId="57F81ADF" w14:textId="77777777" w:rsidR="006A09E7" w:rsidRPr="00731E65" w:rsidRDefault="006A09E7" w:rsidP="00546DEE">
                                  <w:pPr>
                                    <w:autoSpaceDE w:val="0"/>
                                    <w:autoSpaceDN w:val="0"/>
                                    <w:adjustRightInd w:val="0"/>
                                    <w:spacing w:line="240" w:lineRule="auto"/>
                                    <w:jc w:val="center"/>
                                    <w:rPr>
                                      <w:rFonts w:cs="Arial"/>
                                      <w:i/>
                                      <w:color w:val="8C8984"/>
                                      <w:sz w:val="16"/>
                                      <w:szCs w:val="16"/>
                                      <w:lang w:val="fr-FR"/>
                                    </w:rPr>
                                  </w:pPr>
                                </w:p>
                              </w:tc>
                              <w:tc>
                                <w:tcPr>
                                  <w:tcW w:w="2152" w:type="dxa"/>
                                  <w:shd w:val="clear" w:color="auto" w:fill="auto"/>
                                  <w:vAlign w:val="bottom"/>
                                </w:tcPr>
                                <w:p w14:paraId="642BC576" w14:textId="04458520" w:rsidR="006A09E7" w:rsidRPr="00731E65" w:rsidRDefault="006A09E7" w:rsidP="00731E65">
                                  <w:pPr>
                                    <w:autoSpaceDE w:val="0"/>
                                    <w:autoSpaceDN w:val="0"/>
                                    <w:adjustRightInd w:val="0"/>
                                    <w:spacing w:line="240" w:lineRule="auto"/>
                                    <w:ind w:right="110"/>
                                    <w:jc w:val="right"/>
                                    <w:rPr>
                                      <w:rFonts w:cs="Arial"/>
                                      <w:b/>
                                      <w:i/>
                                      <w:color w:val="006747"/>
                                      <w:sz w:val="16"/>
                                      <w:szCs w:val="16"/>
                                      <w:lang w:val="fr-FR"/>
                                    </w:rPr>
                                  </w:pPr>
                                  <w:r w:rsidRPr="00731E65">
                                    <w:rPr>
                                      <w:rFonts w:cs="Arial"/>
                                      <w:b/>
                                      <w:i/>
                                      <w:color w:val="006747"/>
                                      <w:sz w:val="16"/>
                                      <w:szCs w:val="16"/>
                                      <w:lang w:val="fr-FR"/>
                                    </w:rPr>
                                    <w:t xml:space="preserve">Rendement généralement plus </w:t>
                                  </w:r>
                                  <w:r>
                                    <w:rPr>
                                      <w:rFonts w:cs="Arial"/>
                                      <w:b/>
                                      <w:i/>
                                      <w:color w:val="006747"/>
                                      <w:sz w:val="16"/>
                                      <w:szCs w:val="16"/>
                                      <w:lang w:val="fr-FR"/>
                                    </w:rPr>
                                    <w:t>élevé</w:t>
                                  </w:r>
                                </w:p>
                              </w:tc>
                            </w:tr>
                          </w:tbl>
                          <w:p w14:paraId="331014CE" w14:textId="77777777" w:rsidR="006A09E7" w:rsidRPr="00731E65" w:rsidRDefault="006A09E7" w:rsidP="00546DEE">
                            <w:pPr>
                              <w:tabs>
                                <w:tab w:val="left" w:pos="2268"/>
                              </w:tabs>
                              <w:autoSpaceDE w:val="0"/>
                              <w:autoSpaceDN w:val="0"/>
                              <w:adjustRightInd w:val="0"/>
                              <w:spacing w:before="80" w:after="60" w:line="240" w:lineRule="auto"/>
                              <w:rPr>
                                <w:rFonts w:ascii="Gill Sans MT" w:hAnsi="Gill Sans MT"/>
                                <w:color w:val="FFFFFF"/>
                                <w:sz w:val="16"/>
                                <w:szCs w:val="16"/>
                                <w:lang w:val="fr-FR"/>
                              </w:rPr>
                            </w:pPr>
                          </w:p>
                        </w:tc>
                      </w:tr>
                    </w:tbl>
                    <w:p w14:paraId="0F624FDA" w14:textId="4771E305" w:rsidR="006A09E7" w:rsidRPr="00731E65" w:rsidRDefault="006A09E7" w:rsidP="00731E65">
                      <w:pPr>
                        <w:pStyle w:val="KIIDtext1"/>
                        <w:spacing w:before="120" w:line="240" w:lineRule="auto"/>
                        <w:rPr>
                          <w:sz w:val="17"/>
                          <w:lang w:val="fr-FR"/>
                        </w:rPr>
                      </w:pPr>
                      <w:r w:rsidRPr="00731E65">
                        <w:rPr>
                          <w:sz w:val="17"/>
                          <w:lang w:val="fr-FR"/>
                        </w:rPr>
                        <w:t>Le Fonds est classé dans la catégorie 5 car les cours des actifs qu’il s’attend à détenir sont traditionnellement soumis à des fluctuations modérées à élevées. Il n’est pas garanti que cette catégorie n’évoluera pas au fil du temps. Ce classement se base sur les performances antérieures et les performances simulées et pourrait ne pas constituer une indication fiable du profil de risque du Fonds à l’avenir. La catégorie la plus faible n’est pas dépourvue de risque. Le cours du Fonds peut chuter aussi bien qu’augmenter. Il est possible que vous ne puissiez jamais recouvrer le montant initial investi.</w:t>
                      </w:r>
                    </w:p>
                    <w:p w14:paraId="499E1185" w14:textId="392D8883" w:rsidR="006A09E7" w:rsidRPr="00731E65" w:rsidRDefault="006A09E7" w:rsidP="00731E65">
                      <w:pPr>
                        <w:pStyle w:val="KIIDtext1"/>
                        <w:spacing w:line="240" w:lineRule="auto"/>
                        <w:rPr>
                          <w:sz w:val="17"/>
                          <w:lang w:val="fr-FR"/>
                        </w:rPr>
                      </w:pPr>
                      <w:r w:rsidRPr="00731E65">
                        <w:rPr>
                          <w:sz w:val="17"/>
                          <w:lang w:val="fr-FR"/>
                        </w:rPr>
                        <w:t>Le Fonds est exposé à des risques supplémentaires non pris en compte par l’indicateur de risque, notamment, sans s’y limiter :</w:t>
                      </w:r>
                    </w:p>
                    <w:p w14:paraId="5013056A" w14:textId="34FDA9FE" w:rsidR="006A09E7" w:rsidRPr="00731E65" w:rsidRDefault="006A09E7" w:rsidP="00731E65">
                      <w:pPr>
                        <w:pStyle w:val="KIIDtext1"/>
                        <w:spacing w:line="240" w:lineRule="auto"/>
                        <w:rPr>
                          <w:sz w:val="17"/>
                          <w:lang w:val="fr-FR"/>
                        </w:rPr>
                      </w:pPr>
                      <w:r w:rsidRPr="00731E65">
                        <w:rPr>
                          <w:b/>
                          <w:bCs/>
                          <w:sz w:val="17"/>
                          <w:lang w:val="fr-FR"/>
                        </w:rPr>
                        <w:t>Risque lié aux titres convertibles</w:t>
                      </w:r>
                      <w:r w:rsidRPr="00731E65">
                        <w:rPr>
                          <w:sz w:val="17"/>
                          <w:lang w:val="fr-FR"/>
                        </w:rPr>
                        <w:t xml:space="preserve"> : les titres convertibles exposent le Fonds au risque que l’émetteur de la partie du titre en actions privilégiées ou à revenu fixe ne remplisse pas ses obligations aussi bien que l’action sous-jacente dans laquelle ces titres peuvent être convertis.</w:t>
                      </w:r>
                    </w:p>
                    <w:p w14:paraId="04C39525" w14:textId="77777777" w:rsidR="006A09E7" w:rsidRPr="00731E65" w:rsidRDefault="006A09E7" w:rsidP="00546DEE">
                      <w:pPr>
                        <w:pStyle w:val="KIIDtext1"/>
                        <w:spacing w:line="240" w:lineRule="auto"/>
                        <w:rPr>
                          <w:sz w:val="17"/>
                          <w:lang w:val="fr-FR"/>
                        </w:rPr>
                      </w:pPr>
                      <w:r w:rsidRPr="00731E65">
                        <w:rPr>
                          <w:b/>
                          <w:bCs/>
                          <w:sz w:val="17"/>
                          <w:lang w:val="fr-FR"/>
                        </w:rPr>
                        <w:t>Risque de notation de crédit</w:t>
                      </w:r>
                      <w:r w:rsidRPr="00731E65">
                        <w:rPr>
                          <w:sz w:val="17"/>
                          <w:lang w:val="fr-FR"/>
                        </w:rPr>
                        <w:t xml:space="preserve"> : les titres inférieurs à la note « investment grade » et certains titres non notés sont plus sensibles aux développements économiques, réglementaires et sociaux et présentent un risque de liquidité plus important.</w:t>
                      </w:r>
                    </w:p>
                    <w:p w14:paraId="5C2434DC" w14:textId="34E32551" w:rsidR="006A09E7" w:rsidRPr="00731E65" w:rsidRDefault="006A09E7" w:rsidP="00731E65">
                      <w:pPr>
                        <w:pStyle w:val="KIIDtext1"/>
                        <w:spacing w:line="240" w:lineRule="auto"/>
                        <w:rPr>
                          <w:rFonts w:cs="Arial"/>
                          <w:sz w:val="17"/>
                          <w:lang w:val="fr-FR"/>
                        </w:rPr>
                      </w:pPr>
                      <w:r w:rsidRPr="00731E65">
                        <w:rPr>
                          <w:b/>
                          <w:bCs/>
                          <w:sz w:val="17"/>
                          <w:lang w:val="fr-FR"/>
                        </w:rPr>
                        <w:t>Risque lié aux titres de dette</w:t>
                      </w:r>
                      <w:r w:rsidRPr="00731E65">
                        <w:rPr>
                          <w:sz w:val="17"/>
                          <w:lang w:val="fr-FR"/>
                        </w:rPr>
                        <w:t xml:space="preserve"> : la fluctuation des taux d’intérêts et de la qualité du crédit peut </w:t>
                      </w:r>
                      <w:proofErr w:type="gramStart"/>
                      <w:r w:rsidRPr="00731E65">
                        <w:rPr>
                          <w:sz w:val="17"/>
                          <w:lang w:val="fr-FR"/>
                        </w:rPr>
                        <w:t>avoir</w:t>
                      </w:r>
                      <w:proofErr w:type="gramEnd"/>
                      <w:r w:rsidRPr="00731E65">
                        <w:rPr>
                          <w:sz w:val="17"/>
                          <w:lang w:val="fr-FR"/>
                        </w:rPr>
                        <w:t xml:space="preserve"> des conséquences défavorables sur le Fonds</w:t>
                      </w:r>
                      <w:r w:rsidRPr="00731E65">
                        <w:rPr>
                          <w:rFonts w:cs="Arial"/>
                          <w:sz w:val="17"/>
                          <w:lang w:val="fr-FR"/>
                        </w:rPr>
                        <w:t>.</w:t>
                      </w:r>
                    </w:p>
                  </w:txbxContent>
                </v:textbox>
              </v:shape>
            </w:pict>
          </mc:Fallback>
        </mc:AlternateContent>
      </w:r>
      <w:r w:rsidR="005D5A1B" w:rsidRPr="009F3545">
        <w:rPr>
          <w:noProof/>
          <w:lang w:val="de-DE" w:eastAsia="ja-JP"/>
        </w:rPr>
        <mc:AlternateContent>
          <mc:Choice Requires="wps">
            <w:drawing>
              <wp:anchor distT="0" distB="0" distL="114300" distR="114300" simplePos="0" relativeHeight="251663360" behindDoc="0" locked="0" layoutInCell="1" allowOverlap="1" wp14:anchorId="16C457A2" wp14:editId="609093D6">
                <wp:simplePos x="0" y="0"/>
                <wp:positionH relativeFrom="column">
                  <wp:posOffset>-733425</wp:posOffset>
                </wp:positionH>
                <wp:positionV relativeFrom="paragraph">
                  <wp:posOffset>1076325</wp:posOffset>
                </wp:positionV>
                <wp:extent cx="3483610" cy="238125"/>
                <wp:effectExtent l="0" t="0" r="254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14F20027" w:rsidR="006A09E7" w:rsidRPr="00831DE1" w:rsidRDefault="006A09E7" w:rsidP="005B6E23">
                            <w:pPr>
                              <w:pStyle w:val="BoldSubHead"/>
                              <w:spacing w:before="0"/>
                              <w:rPr>
                                <w:color w:val="5F5F5F"/>
                                <w:sz w:val="18"/>
                                <w:szCs w:val="18"/>
                              </w:rPr>
                            </w:pPr>
                            <w:r>
                              <w:t>Objectifs et politique d’investissement</w:t>
                            </w:r>
                          </w:p>
                          <w:p w14:paraId="2B5CEB0D" w14:textId="77777777" w:rsidR="006A09E7" w:rsidRPr="00831DE1" w:rsidRDefault="006A09E7"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5" type="#_x0000_t202" style="position:absolute;margin-left:-57.75pt;margin-top:84.75pt;width:274.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oohg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" stroked="f">
                <v:textbox>
                  <w:txbxContent>
                    <w:p w14:paraId="2D0B738E" w14:textId="14F20027" w:rsidR="006A09E7" w:rsidRPr="00831DE1" w:rsidRDefault="006A09E7" w:rsidP="005B6E23">
                      <w:pPr>
                        <w:pStyle w:val="BoldSubHead"/>
                        <w:spacing w:before="0"/>
                        <w:rPr>
                          <w:color w:val="5F5F5F"/>
                          <w:sz w:val="18"/>
                          <w:szCs w:val="18"/>
                        </w:rPr>
                      </w:pPr>
                      <w:r>
                        <w:t>Objectifs et politique d’investissement</w:t>
                      </w:r>
                    </w:p>
                    <w:p w14:paraId="2B5CEB0D" w14:textId="77777777" w:rsidR="006A09E7" w:rsidRPr="00831DE1" w:rsidRDefault="006A09E7"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731E65" w:rsidRPr="009F3545">
        <w:rPr>
          <w:noProof/>
          <w:color w:val="000000"/>
          <w:lang w:val="de-DE" w:eastAsia="ja-JP"/>
        </w:rPr>
        <mc:AlternateContent>
          <mc:Choice Requires="wps">
            <w:drawing>
              <wp:anchor distT="0" distB="0" distL="114300" distR="114300" simplePos="0" relativeHeight="251666432" behindDoc="0" locked="0" layoutInCell="1" allowOverlap="1" wp14:anchorId="1C3FD5D8" wp14:editId="13A5B849">
                <wp:simplePos x="0" y="0"/>
                <wp:positionH relativeFrom="margin">
                  <wp:posOffset>-579755</wp:posOffset>
                </wp:positionH>
                <wp:positionV relativeFrom="paragraph">
                  <wp:posOffset>4338320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DEE64" id="AutoShape 101" o:spid="_x0000_s1026" type="#_x0000_t32" style="position:absolute;margin-left:-45.65pt;margin-top:341.6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" strokecolor="#006747">
                <w10:wrap anchorx="margin"/>
              </v:shape>
            </w:pict>
          </mc:Fallback>
        </mc:AlternateContent>
      </w:r>
      <w:r w:rsidR="00731E65" w:rsidRPr="009F3545">
        <w:rPr>
          <w:noProof/>
          <w:lang w:val="de-DE" w:eastAsia="ja-JP"/>
        </w:rPr>
        <mc:AlternateContent>
          <mc:Choice Requires="wps">
            <w:drawing>
              <wp:anchor distT="0" distB="0" distL="114300" distR="114300" simplePos="0" relativeHeight="251716608" behindDoc="0" locked="0" layoutInCell="1" allowOverlap="1" wp14:anchorId="2AF38462" wp14:editId="4838C59A">
                <wp:simplePos x="0" y="0"/>
                <wp:positionH relativeFrom="column">
                  <wp:posOffset>2184400</wp:posOffset>
                </wp:positionH>
                <wp:positionV relativeFrom="paragraph">
                  <wp:posOffset>5172075</wp:posOffset>
                </wp:positionV>
                <wp:extent cx="444500" cy="361950"/>
                <wp:effectExtent l="0" t="0" r="0" b="0"/>
                <wp:wrapNone/>
                <wp:docPr id="21" name="Rectangle 21"/>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5F7F1" w14:textId="10A9C826" w:rsidR="006A09E7" w:rsidRPr="005D5A1B" w:rsidRDefault="006A09E7" w:rsidP="00A66366">
                            <w:pPr>
                              <w:jc w:val="center"/>
                              <w:rPr>
                                <w:b/>
                                <w:bCs/>
                                <w:color w:val="245639"/>
                                <w14:textOutline w14:w="9525" w14:cap="rnd" w14:cmpd="sng" w14:algn="ctr">
                                  <w14:noFill/>
                                  <w14:prstDash w14:val="solid"/>
                                  <w14:bevel/>
                                </w14:textOutline>
                              </w:rPr>
                            </w:pPr>
                            <w:r w:rsidRPr="005D5A1B">
                              <w:rPr>
                                <w:b/>
                                <w:bCs/>
                                <w:color w:val="245639"/>
                                <w14:textOutline w14:w="9525" w14:cap="rnd" w14:cmpd="sng" w14:algn="ctr">
                                  <w14:noFill/>
                                  <w14:prstDash w14:val="solid"/>
                                  <w14:bevel/>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38462" id="Rectangle 21" o:spid="_x0000_s1036" style="position:absolute;margin-left:172pt;margin-top:407.25pt;width:3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" fillcolor="#cbdfd2" stroked="f" strokeweight="1pt">
                <v:textbox>
                  <w:txbxContent>
                    <w:p w14:paraId="1B85F7F1" w14:textId="10A9C826" w:rsidR="006A09E7" w:rsidRPr="005D5A1B" w:rsidRDefault="006A09E7" w:rsidP="00A66366">
                      <w:pPr>
                        <w:jc w:val="center"/>
                        <w:rPr>
                          <w:b/>
                          <w:bCs/>
                          <w:color w:val="245639"/>
                          <w14:textOutline w14:w="9525" w14:cap="rnd" w14:cmpd="sng" w14:algn="ctr">
                            <w14:noFill/>
                            <w14:prstDash w14:val="solid"/>
                            <w14:bevel/>
                          </w14:textOutline>
                        </w:rPr>
                      </w:pPr>
                      <w:r w:rsidRPr="005D5A1B">
                        <w:rPr>
                          <w:b/>
                          <w:bCs/>
                          <w:color w:val="245639"/>
                          <w14:textOutline w14:w="9525" w14:cap="rnd" w14:cmpd="sng" w14:algn="ctr">
                            <w14:noFill/>
                            <w14:prstDash w14:val="solid"/>
                            <w14:bevel/>
                          </w14:textOutline>
                        </w:rPr>
                        <w:t>7</w:t>
                      </w:r>
                    </w:p>
                  </w:txbxContent>
                </v:textbox>
              </v:rect>
            </w:pict>
          </mc:Fallback>
        </mc:AlternateContent>
      </w:r>
      <w:r w:rsidR="00731E65" w:rsidRPr="009F3545">
        <w:rPr>
          <w:noProof/>
          <w:lang w:val="de-DE" w:eastAsia="ja-JP"/>
        </w:rPr>
        <mc:AlternateContent>
          <mc:Choice Requires="wps">
            <w:drawing>
              <wp:anchor distT="0" distB="0" distL="114300" distR="114300" simplePos="0" relativeHeight="251722752" behindDoc="0" locked="0" layoutInCell="1" allowOverlap="1" wp14:anchorId="50D90BD5" wp14:editId="175F1363">
                <wp:simplePos x="0" y="0"/>
                <wp:positionH relativeFrom="column">
                  <wp:posOffset>-558800</wp:posOffset>
                </wp:positionH>
                <wp:positionV relativeFrom="paragraph">
                  <wp:posOffset>5178425</wp:posOffset>
                </wp:positionV>
                <wp:extent cx="444500" cy="361950"/>
                <wp:effectExtent l="0" t="0" r="0" b="0"/>
                <wp:wrapNone/>
                <wp:docPr id="34" name="Rectangle 34"/>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6B1B8" w14:textId="67B2B2FD" w:rsidR="006A09E7" w:rsidRPr="005D5A1B" w:rsidRDefault="006A09E7" w:rsidP="00A66366">
                            <w:pPr>
                              <w:jc w:val="center"/>
                              <w:rPr>
                                <w:b/>
                                <w:bCs/>
                                <w:color w:val="245639"/>
                                <w14:textOutline w14:w="9525" w14:cap="rnd" w14:cmpd="sng" w14:algn="ctr">
                                  <w14:noFill/>
                                  <w14:prstDash w14:val="solid"/>
                                  <w14:bevel/>
                                </w14:textOutline>
                              </w:rPr>
                            </w:pPr>
                            <w:r w:rsidRPr="005D5A1B">
                              <w:rPr>
                                <w:b/>
                                <w:bCs/>
                                <w:color w:val="245639"/>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90BD5" id="Rectangle 34" o:spid="_x0000_s1037" style="position:absolute;margin-left:-44pt;margin-top:407.75pt;width:3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" fillcolor="#cbdfd2" stroked="f" strokeweight="1pt">
                <v:textbox>
                  <w:txbxContent>
                    <w:p w14:paraId="46D6B1B8" w14:textId="67B2B2FD" w:rsidR="006A09E7" w:rsidRPr="005D5A1B" w:rsidRDefault="006A09E7" w:rsidP="00A66366">
                      <w:pPr>
                        <w:jc w:val="center"/>
                        <w:rPr>
                          <w:b/>
                          <w:bCs/>
                          <w:color w:val="245639"/>
                          <w14:textOutline w14:w="9525" w14:cap="rnd" w14:cmpd="sng" w14:algn="ctr">
                            <w14:noFill/>
                            <w14:prstDash w14:val="solid"/>
                            <w14:bevel/>
                          </w14:textOutline>
                        </w:rPr>
                      </w:pPr>
                      <w:r w:rsidRPr="005D5A1B">
                        <w:rPr>
                          <w:b/>
                          <w:bCs/>
                          <w:color w:val="245639"/>
                          <w14:textOutline w14:w="9525" w14:cap="rnd" w14:cmpd="sng" w14:algn="ctr">
                            <w14:noFill/>
                            <w14:prstDash w14:val="solid"/>
                            <w14:bevel/>
                          </w14:textOutline>
                        </w:rPr>
                        <w:t>1</w:t>
                      </w:r>
                    </w:p>
                  </w:txbxContent>
                </v:textbox>
              </v:rect>
            </w:pict>
          </mc:Fallback>
        </mc:AlternateContent>
      </w:r>
      <w:r w:rsidR="00731E65" w:rsidRPr="009F3545">
        <w:rPr>
          <w:noProof/>
          <w:lang w:val="de-DE" w:eastAsia="ja-JP"/>
        </w:rPr>
        <mc:AlternateContent>
          <mc:Choice Requires="wps">
            <w:drawing>
              <wp:anchor distT="0" distB="0" distL="114300" distR="114300" simplePos="0" relativeHeight="251710464" behindDoc="0" locked="0" layoutInCell="1" allowOverlap="1" wp14:anchorId="686B4A90" wp14:editId="2C50EFDE">
                <wp:simplePos x="0" y="0"/>
                <wp:positionH relativeFrom="column">
                  <wp:posOffset>812800</wp:posOffset>
                </wp:positionH>
                <wp:positionV relativeFrom="paragraph">
                  <wp:posOffset>5181600</wp:posOffset>
                </wp:positionV>
                <wp:extent cx="444500" cy="361950"/>
                <wp:effectExtent l="0" t="0" r="0" b="0"/>
                <wp:wrapNone/>
                <wp:docPr id="7" name="Rectangle 7"/>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1148F" w14:textId="013E05E1" w:rsidR="006A09E7" w:rsidRPr="005D5A1B" w:rsidRDefault="006A09E7" w:rsidP="00A66366">
                            <w:pPr>
                              <w:jc w:val="center"/>
                              <w:rPr>
                                <w:b/>
                                <w:bCs/>
                                <w:color w:val="245639"/>
                              </w:rPr>
                            </w:pPr>
                            <w:r w:rsidRPr="005D5A1B">
                              <w:rPr>
                                <w:b/>
                                <w:bCs/>
                                <w:color w:val="245639"/>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B4A90" id="Rectangle 7" o:spid="_x0000_s1038" style="position:absolute;margin-left:64pt;margin-top:408pt;width: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" fillcolor="#cbdfd2" stroked="f" strokeweight="1pt">
                <v:textbox>
                  <w:txbxContent>
                    <w:p w14:paraId="1411148F" w14:textId="013E05E1" w:rsidR="006A09E7" w:rsidRPr="005D5A1B" w:rsidRDefault="006A09E7" w:rsidP="00A66366">
                      <w:pPr>
                        <w:jc w:val="center"/>
                        <w:rPr>
                          <w:b/>
                          <w:bCs/>
                          <w:color w:val="245639"/>
                        </w:rPr>
                      </w:pPr>
                      <w:r w:rsidRPr="005D5A1B">
                        <w:rPr>
                          <w:b/>
                          <w:bCs/>
                          <w:color w:val="245639"/>
                        </w:rPr>
                        <w:t>4</w:t>
                      </w:r>
                    </w:p>
                  </w:txbxContent>
                </v:textbox>
              </v:rect>
            </w:pict>
          </mc:Fallback>
        </mc:AlternateContent>
      </w:r>
      <w:r w:rsidR="00141CEE" w:rsidRPr="009F3545">
        <w:rPr>
          <w:noProof/>
          <w:lang w:val="de-DE" w:eastAsia="ja-JP"/>
        </w:rPr>
        <mc:AlternateContent>
          <mc:Choice Requires="wps">
            <w:drawing>
              <wp:anchor distT="0" distB="0" distL="114300" distR="114300" simplePos="0" relativeHeight="251714560" behindDoc="0" locked="0" layoutInCell="1" allowOverlap="1" wp14:anchorId="609B61D0" wp14:editId="7B40E807">
                <wp:simplePos x="0" y="0"/>
                <wp:positionH relativeFrom="column">
                  <wp:posOffset>1727200</wp:posOffset>
                </wp:positionH>
                <wp:positionV relativeFrom="paragraph">
                  <wp:posOffset>5175250</wp:posOffset>
                </wp:positionV>
                <wp:extent cx="444500" cy="361950"/>
                <wp:effectExtent l="0" t="0" r="0" b="0"/>
                <wp:wrapNone/>
                <wp:docPr id="18" name="Rectangle 18"/>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33977" w14:textId="5E1C2491" w:rsidR="006A09E7" w:rsidRPr="005D5A1B" w:rsidRDefault="006A09E7" w:rsidP="00A66366">
                            <w:pPr>
                              <w:jc w:val="center"/>
                              <w:rPr>
                                <w:b/>
                                <w:bCs/>
                                <w:color w:val="245639"/>
                              </w:rPr>
                            </w:pPr>
                            <w:r w:rsidRPr="005D5A1B">
                              <w:rPr>
                                <w:b/>
                                <w:bCs/>
                                <w:color w:val="245639"/>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B61D0" id="Rectangle 18" o:spid="_x0000_s1039" style="position:absolute;margin-left:136pt;margin-top:407.5pt;width:3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" fillcolor="#cbdfd2" stroked="f" strokeweight="1pt">
                <v:textbox>
                  <w:txbxContent>
                    <w:p w14:paraId="0D033977" w14:textId="5E1C2491" w:rsidR="006A09E7" w:rsidRPr="005D5A1B" w:rsidRDefault="006A09E7" w:rsidP="00A66366">
                      <w:pPr>
                        <w:jc w:val="center"/>
                        <w:rPr>
                          <w:b/>
                          <w:bCs/>
                          <w:color w:val="245639"/>
                        </w:rPr>
                      </w:pPr>
                      <w:r w:rsidRPr="005D5A1B">
                        <w:rPr>
                          <w:b/>
                          <w:bCs/>
                          <w:color w:val="245639"/>
                        </w:rPr>
                        <w:t>6</w:t>
                      </w:r>
                    </w:p>
                  </w:txbxContent>
                </v:textbox>
              </v:rect>
            </w:pict>
          </mc:Fallback>
        </mc:AlternateContent>
      </w:r>
      <w:r w:rsidR="00A66366" w:rsidRPr="009F3545">
        <w:rPr>
          <w:noProof/>
          <w:lang w:val="de-DE" w:eastAsia="ja-JP"/>
        </w:rPr>
        <mc:AlternateContent>
          <mc:Choice Requires="wps">
            <w:drawing>
              <wp:anchor distT="0" distB="0" distL="114300" distR="114300" simplePos="0" relativeHeight="251712512" behindDoc="0" locked="0" layoutInCell="1" allowOverlap="1" wp14:anchorId="448E13F2" wp14:editId="651619CC">
                <wp:simplePos x="0" y="0"/>
                <wp:positionH relativeFrom="column">
                  <wp:posOffset>1270000</wp:posOffset>
                </wp:positionH>
                <wp:positionV relativeFrom="paragraph">
                  <wp:posOffset>5181600</wp:posOffset>
                </wp:positionV>
                <wp:extent cx="444500" cy="361950"/>
                <wp:effectExtent l="0" t="0" r="0" b="0"/>
                <wp:wrapNone/>
                <wp:docPr id="17" name="Rectangle 17"/>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245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AC0D5" w14:textId="1316643D" w:rsidR="006A09E7" w:rsidRPr="00141CEE" w:rsidRDefault="006A09E7" w:rsidP="00A66366">
                            <w:pPr>
                              <w:jc w:val="center"/>
                              <w:rPr>
                                <w:b/>
                              </w:rPr>
                            </w:pPr>
                            <w:r w:rsidRPr="00141CEE">
                              <w:rPr>
                                <w: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13F2" id="Rectangle 17" o:spid="_x0000_s1040" style="position:absolute;margin-left:100pt;margin-top:408pt;width:3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" fillcolor="#245639" stroked="f" strokeweight="1pt">
                <v:textbox>
                  <w:txbxContent>
                    <w:p w14:paraId="67EAC0D5" w14:textId="1316643D" w:rsidR="006A09E7" w:rsidRPr="00141CEE" w:rsidRDefault="006A09E7" w:rsidP="00A66366">
                      <w:pPr>
                        <w:jc w:val="center"/>
                        <w:rPr>
                          <w:b/>
                        </w:rPr>
                      </w:pPr>
                      <w:r w:rsidRPr="00141CEE">
                        <w:rPr>
                          <w:b/>
                        </w:rPr>
                        <w:t>5</w:t>
                      </w:r>
                    </w:p>
                  </w:txbxContent>
                </v:textbox>
              </v:rect>
            </w:pict>
          </mc:Fallback>
        </mc:AlternateContent>
      </w:r>
      <w:r w:rsidR="00A66366" w:rsidRPr="009F3545">
        <w:rPr>
          <w:noProof/>
          <w:lang w:val="de-DE" w:eastAsia="ja-JP"/>
        </w:rPr>
        <mc:AlternateContent>
          <mc:Choice Requires="wps">
            <w:drawing>
              <wp:anchor distT="0" distB="0" distL="114300" distR="114300" simplePos="0" relativeHeight="251720704" behindDoc="0" locked="0" layoutInCell="1" allowOverlap="1" wp14:anchorId="7C4762F8" wp14:editId="60F48439">
                <wp:simplePos x="0" y="0"/>
                <wp:positionH relativeFrom="column">
                  <wp:posOffset>-101600</wp:posOffset>
                </wp:positionH>
                <wp:positionV relativeFrom="paragraph">
                  <wp:posOffset>5181600</wp:posOffset>
                </wp:positionV>
                <wp:extent cx="444500" cy="361950"/>
                <wp:effectExtent l="0" t="0" r="0" b="0"/>
                <wp:wrapNone/>
                <wp:docPr id="31" name="Rectangle 31"/>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95B9C" w14:textId="1E11E652" w:rsidR="006A09E7" w:rsidRPr="005D5A1B" w:rsidRDefault="006A09E7" w:rsidP="00A66366">
                            <w:pPr>
                              <w:jc w:val="center"/>
                              <w:rPr>
                                <w:b/>
                                <w:bCs/>
                                <w:color w:val="245639"/>
                              </w:rPr>
                            </w:pPr>
                            <w:r w:rsidRPr="005D5A1B">
                              <w:rPr>
                                <w:b/>
                                <w:bCs/>
                                <w:color w:val="245639"/>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762F8" id="Rectangle 31" o:spid="_x0000_s1041" style="position:absolute;margin-left:-8pt;margin-top:408pt;width:3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" fillcolor="#cbdfd2" stroked="f" strokeweight="1pt">
                <v:textbox>
                  <w:txbxContent>
                    <w:p w14:paraId="22A95B9C" w14:textId="1E11E652" w:rsidR="006A09E7" w:rsidRPr="005D5A1B" w:rsidRDefault="006A09E7" w:rsidP="00A66366">
                      <w:pPr>
                        <w:jc w:val="center"/>
                        <w:rPr>
                          <w:b/>
                          <w:bCs/>
                          <w:color w:val="245639"/>
                        </w:rPr>
                      </w:pPr>
                      <w:r w:rsidRPr="005D5A1B">
                        <w:rPr>
                          <w:b/>
                          <w:bCs/>
                          <w:color w:val="245639"/>
                        </w:rPr>
                        <w:t>2</w:t>
                      </w:r>
                    </w:p>
                  </w:txbxContent>
                </v:textbox>
              </v:rect>
            </w:pict>
          </mc:Fallback>
        </mc:AlternateContent>
      </w:r>
      <w:r w:rsidR="005B6E23" w:rsidRPr="009F3545">
        <w:rPr>
          <w:noProof/>
          <w:lang w:val="de-DE" w:eastAsia="ja-JP"/>
        </w:rPr>
        <mc:AlternateContent>
          <mc:Choice Requires="wps">
            <w:drawing>
              <wp:anchor distT="0" distB="0" distL="114300" distR="114300" simplePos="0" relativeHeight="251672576" behindDoc="0" locked="0" layoutInCell="1" allowOverlap="1" wp14:anchorId="43BF8B85" wp14:editId="602F2CF2">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6A09E7" w:rsidRPr="006F31C1" w:rsidRDefault="006A09E7"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42"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obhQIAABg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sMouFkI&#10;HzSy0ewRhGE18AYUw+8EFq22XzHqYTRr7L7siOUYybcKxFVmRRFmOW6K6WUOG3tu2ZxbiKIAVWOP&#10;0bhc+nH+d8aKbQuRRjkrfQOCbETUylNWBxnD+MWiDr+KMN/n++j19ENb/A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FnM&#10;2huFAgAAGAUAAA4AAAAAAAAAAAAAAAAALgIAAGRycy9lMm9Eb2MueG1sUEsBAi0AFAAGAAgAAAAh&#10;ABurRsndAAAACgEAAA8AAAAAAAAAAAAAAAAA3wQAAGRycy9kb3ducmV2LnhtbFBLBQYAAAAABAAE&#10;APMAAADpBQAAAAA=&#10;" stroked="f">
                <v:textbox>
                  <w:txbxContent>
                    <w:p w14:paraId="7BC00B6A" w14:textId="77777777" w:rsidR="006A09E7" w:rsidRPr="006F31C1" w:rsidRDefault="006A09E7"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9F3545">
        <w:rPr>
          <w:lang w:val="fr-FR"/>
        </w:rPr>
        <w:br w:type="page"/>
      </w:r>
    </w:p>
    <w:p w14:paraId="1182EDA0" w14:textId="4E8B9FFD" w:rsidR="005B6E23" w:rsidRPr="009F3545" w:rsidRDefault="00AD5824">
      <w:pPr>
        <w:widowControl/>
        <w:spacing w:after="160" w:line="259" w:lineRule="auto"/>
        <w:jc w:val="left"/>
        <w:rPr>
          <w:lang w:val="fr-FR"/>
        </w:rPr>
      </w:pPr>
      <w:r w:rsidRPr="009F3545">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47511BAD">
                <wp:simplePos x="0" y="0"/>
                <wp:positionH relativeFrom="column">
                  <wp:posOffset>2809875</wp:posOffset>
                </wp:positionH>
                <wp:positionV relativeFrom="paragraph">
                  <wp:posOffset>-257175</wp:posOffset>
                </wp:positionV>
                <wp:extent cx="3416300" cy="2333625"/>
                <wp:effectExtent l="0" t="0" r="12700"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23336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74" w:type="dxa"/>
                              <w:tblCellMar>
                                <w:top w:w="28" w:type="dxa"/>
                              </w:tblCellMar>
                              <w:tblLook w:val="04A0" w:firstRow="1" w:lastRow="0" w:firstColumn="1" w:lastColumn="0" w:noHBand="0" w:noVBand="1"/>
                            </w:tblPr>
                            <w:tblGrid>
                              <w:gridCol w:w="1596"/>
                              <w:gridCol w:w="741"/>
                              <w:gridCol w:w="103"/>
                              <w:gridCol w:w="296"/>
                              <w:gridCol w:w="1596"/>
                              <w:gridCol w:w="742"/>
                            </w:tblGrid>
                            <w:tr w:rsidR="006A09E7" w:rsidRPr="001D4D66" w14:paraId="3ACABF2B" w14:textId="77777777" w:rsidTr="003E6915">
                              <w:trPr>
                                <w:trHeight w:val="262"/>
                              </w:trPr>
                              <w:tc>
                                <w:tcPr>
                                  <w:tcW w:w="5074" w:type="dxa"/>
                                  <w:gridSpan w:val="6"/>
                                  <w:shd w:val="clear" w:color="auto" w:fill="006747"/>
                                </w:tcPr>
                                <w:p w14:paraId="059185E8" w14:textId="2A2B0CC7" w:rsidR="006A09E7" w:rsidRPr="001D4D66" w:rsidRDefault="006A09E7" w:rsidP="00547654">
                                  <w:pPr>
                                    <w:tabs>
                                      <w:tab w:val="left" w:pos="264"/>
                                    </w:tabs>
                                    <w:autoSpaceDE w:val="0"/>
                                    <w:autoSpaceDN w:val="0"/>
                                    <w:adjustRightInd w:val="0"/>
                                    <w:spacing w:line="200" w:lineRule="exact"/>
                                    <w:jc w:val="left"/>
                                    <w:rPr>
                                      <w:rFonts w:cs="Arial"/>
                                      <w:b/>
                                      <w:color w:val="FFFFFF"/>
                                      <w:sz w:val="16"/>
                                      <w:szCs w:val="16"/>
                                      <w:lang w:val="fr-FR"/>
                                    </w:rPr>
                                  </w:pPr>
                                  <w:r w:rsidRPr="001D4D66">
                                    <w:rPr>
                                      <w:rFonts w:cs="Arial"/>
                                      <w:b/>
                                      <w:color w:val="FFFFFF"/>
                                      <w:sz w:val="16"/>
                                      <w:szCs w:val="16"/>
                                      <w:lang w:val="fr-FR"/>
                                    </w:rPr>
                                    <w:t>Frais ponctuels prélevés avant ou après investissement</w:t>
                                  </w:r>
                                </w:p>
                              </w:tc>
                            </w:tr>
                            <w:tr w:rsidR="006A09E7" w:rsidRPr="001D4D66" w14:paraId="07282F6D" w14:textId="77777777" w:rsidTr="003E6915">
                              <w:trPr>
                                <w:trHeight w:val="297"/>
                              </w:trPr>
                              <w:tc>
                                <w:tcPr>
                                  <w:tcW w:w="1596" w:type="dxa"/>
                                  <w:tcBorders>
                                    <w:bottom w:val="single" w:sz="8" w:space="0" w:color="CCE1DA"/>
                                  </w:tcBorders>
                                  <w:shd w:val="clear" w:color="auto" w:fill="CCE1DA"/>
                                </w:tcPr>
                                <w:p w14:paraId="0F149CB5" w14:textId="4FC4DAAB" w:rsidR="006A09E7" w:rsidRPr="001D4D66" w:rsidRDefault="006A09E7" w:rsidP="00547654">
                                  <w:pPr>
                                    <w:pStyle w:val="KIIDtext1"/>
                                    <w:autoSpaceDE w:val="0"/>
                                    <w:autoSpaceDN w:val="0"/>
                                    <w:adjustRightInd w:val="0"/>
                                    <w:spacing w:line="200" w:lineRule="exact"/>
                                    <w:rPr>
                                      <w:rFonts w:cs="Arial"/>
                                      <w:color w:val="006747"/>
                                      <w:sz w:val="16"/>
                                      <w:szCs w:val="16"/>
                                      <w:lang w:val="fr-FR"/>
                                    </w:rPr>
                                  </w:pPr>
                                  <w:r w:rsidRPr="001D4D66">
                                    <w:rPr>
                                      <w:rFonts w:cs="Arial"/>
                                      <w:b/>
                                      <w:color w:val="006747"/>
                                      <w:sz w:val="16"/>
                                      <w:szCs w:val="16"/>
                                      <w:lang w:val="fr-FR"/>
                                    </w:rPr>
                                    <w:t>Frais d’entrée</w:t>
                                  </w:r>
                                </w:p>
                              </w:tc>
                              <w:tc>
                                <w:tcPr>
                                  <w:tcW w:w="741" w:type="dxa"/>
                                  <w:tcBorders>
                                    <w:bottom w:val="single" w:sz="8" w:space="0" w:color="CCE1DA"/>
                                    <w:right w:val="single" w:sz="8" w:space="0" w:color="CCE1DA"/>
                                  </w:tcBorders>
                                  <w:shd w:val="clear" w:color="auto" w:fill="auto"/>
                                </w:tcPr>
                                <w:p w14:paraId="24CC7531" w14:textId="474E42DB" w:rsidR="006A09E7" w:rsidRPr="001D4D66" w:rsidRDefault="006A09E7"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c>
                                <w:tcPr>
                                  <w:tcW w:w="399" w:type="dxa"/>
                                  <w:gridSpan w:val="2"/>
                                  <w:tcBorders>
                                    <w:left w:val="single" w:sz="8" w:space="0" w:color="CCE1DA"/>
                                  </w:tcBorders>
                                  <w:shd w:val="clear" w:color="auto" w:fill="FFFFFF"/>
                                </w:tcPr>
                                <w:p w14:paraId="52B89D6F" w14:textId="77777777" w:rsidR="006A09E7" w:rsidRPr="001D4D66" w:rsidRDefault="006A09E7" w:rsidP="00547654">
                                  <w:pPr>
                                    <w:pStyle w:val="KIIDtext1"/>
                                    <w:autoSpaceDE w:val="0"/>
                                    <w:autoSpaceDN w:val="0"/>
                                    <w:adjustRightInd w:val="0"/>
                                    <w:spacing w:line="200" w:lineRule="exact"/>
                                    <w:rPr>
                                      <w:rFonts w:cs="Arial"/>
                                      <w:sz w:val="16"/>
                                      <w:szCs w:val="16"/>
                                      <w:lang w:val="fr-FR"/>
                                    </w:rPr>
                                  </w:pPr>
                                </w:p>
                              </w:tc>
                              <w:tc>
                                <w:tcPr>
                                  <w:tcW w:w="1596" w:type="dxa"/>
                                  <w:tcBorders>
                                    <w:bottom w:val="single" w:sz="8" w:space="0" w:color="CCE1DA"/>
                                  </w:tcBorders>
                                  <w:shd w:val="clear" w:color="auto" w:fill="CCE1DA"/>
                                </w:tcPr>
                                <w:p w14:paraId="0F7C93DA" w14:textId="704D1725" w:rsidR="006A09E7" w:rsidRPr="001D4D66" w:rsidRDefault="006A09E7" w:rsidP="001D4D66">
                                  <w:pPr>
                                    <w:pStyle w:val="KIIDtext1"/>
                                    <w:autoSpaceDE w:val="0"/>
                                    <w:autoSpaceDN w:val="0"/>
                                    <w:adjustRightInd w:val="0"/>
                                    <w:spacing w:line="200" w:lineRule="exact"/>
                                    <w:rPr>
                                      <w:rFonts w:cs="Arial"/>
                                      <w:sz w:val="16"/>
                                      <w:szCs w:val="16"/>
                                      <w:lang w:val="fr-FR"/>
                                    </w:rPr>
                                  </w:pPr>
                                  <w:r w:rsidRPr="001D4D66">
                                    <w:rPr>
                                      <w:rFonts w:cs="Arial"/>
                                      <w:b/>
                                      <w:color w:val="006747"/>
                                      <w:sz w:val="16"/>
                                      <w:szCs w:val="16"/>
                                      <w:lang w:val="fr-FR"/>
                                    </w:rPr>
                                    <w:t>Frais de sortie</w:t>
                                  </w:r>
                                </w:p>
                              </w:tc>
                              <w:tc>
                                <w:tcPr>
                                  <w:tcW w:w="742" w:type="dxa"/>
                                  <w:tcBorders>
                                    <w:bottom w:val="single" w:sz="8" w:space="0" w:color="CCE1DA"/>
                                    <w:right w:val="single" w:sz="8" w:space="0" w:color="CCE1DA"/>
                                  </w:tcBorders>
                                  <w:shd w:val="clear" w:color="auto" w:fill="auto"/>
                                </w:tcPr>
                                <w:p w14:paraId="3940D495" w14:textId="389DA90B" w:rsidR="006A09E7" w:rsidRPr="001D4D66" w:rsidRDefault="006A09E7"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r>
                            <w:tr w:rsidR="006A09E7" w:rsidRPr="001D4D66" w14:paraId="1BF5D050" w14:textId="77777777" w:rsidTr="003E6915">
                              <w:trPr>
                                <w:trHeight w:val="538"/>
                              </w:trPr>
                              <w:tc>
                                <w:tcPr>
                                  <w:tcW w:w="5074" w:type="dxa"/>
                                  <w:gridSpan w:val="6"/>
                                  <w:shd w:val="clear" w:color="auto" w:fill="auto"/>
                                </w:tcPr>
                                <w:p w14:paraId="2BB00D2A" w14:textId="1CB705D1" w:rsidR="006A09E7" w:rsidRPr="001D4D66" w:rsidRDefault="006A09E7" w:rsidP="00AD5824">
                                  <w:pPr>
                                    <w:pStyle w:val="KIIDtext1"/>
                                    <w:autoSpaceDE w:val="0"/>
                                    <w:autoSpaceDN w:val="0"/>
                                    <w:adjustRightInd w:val="0"/>
                                    <w:spacing w:before="40" w:after="180" w:line="200" w:lineRule="exact"/>
                                    <w:rPr>
                                      <w:rFonts w:cs="Arial"/>
                                      <w:sz w:val="16"/>
                                      <w:szCs w:val="16"/>
                                      <w:lang w:val="fr-FR"/>
                                    </w:rPr>
                                  </w:pPr>
                                  <w:r w:rsidRPr="001D4D66">
                                    <w:rPr>
                                      <w:rFonts w:cs="Arial"/>
                                      <w:sz w:val="16"/>
                                      <w:szCs w:val="16"/>
                                      <w:lang w:val="fr-FR"/>
                                    </w:rPr>
                                    <w:t>Le pourcentage indiqué est le maximum pouvant être prélevé sur votre capital avant qu’il ne soit investi.</w:t>
                                  </w:r>
                                </w:p>
                              </w:tc>
                            </w:tr>
                            <w:tr w:rsidR="006A09E7" w:rsidRPr="001D4D66" w14:paraId="3DE3479F" w14:textId="77777777" w:rsidTr="003E6915">
                              <w:trPr>
                                <w:trHeight w:val="262"/>
                              </w:trPr>
                              <w:tc>
                                <w:tcPr>
                                  <w:tcW w:w="5074" w:type="dxa"/>
                                  <w:gridSpan w:val="6"/>
                                  <w:shd w:val="clear" w:color="auto" w:fill="006747"/>
                                </w:tcPr>
                                <w:p w14:paraId="40454E8D" w14:textId="54AF8907" w:rsidR="006A09E7" w:rsidRPr="001D4D66" w:rsidRDefault="006A09E7" w:rsidP="00547654">
                                  <w:pPr>
                                    <w:pStyle w:val="KIIDtext1"/>
                                    <w:autoSpaceDE w:val="0"/>
                                    <w:autoSpaceDN w:val="0"/>
                                    <w:adjustRightInd w:val="0"/>
                                    <w:spacing w:after="0" w:line="200" w:lineRule="exact"/>
                                    <w:rPr>
                                      <w:rFonts w:cs="Arial"/>
                                      <w:b/>
                                      <w:color w:val="FFFFFF"/>
                                      <w:sz w:val="16"/>
                                      <w:szCs w:val="16"/>
                                      <w:lang w:val="fr-FR"/>
                                    </w:rPr>
                                  </w:pPr>
                                  <w:r w:rsidRPr="001D4D66">
                                    <w:rPr>
                                      <w:rFonts w:cs="Arial"/>
                                      <w:b/>
                                      <w:color w:val="FFFFFF"/>
                                      <w:sz w:val="16"/>
                                      <w:szCs w:val="16"/>
                                      <w:lang w:val="fr-FR"/>
                                    </w:rPr>
                                    <w:t>Frais prélevés par le fonds sur une année</w:t>
                                  </w:r>
                                </w:p>
                              </w:tc>
                            </w:tr>
                            <w:tr w:rsidR="006A09E7" w:rsidRPr="001D4D66" w14:paraId="1392D75E" w14:textId="77777777" w:rsidTr="003E6915">
                              <w:trPr>
                                <w:trHeight w:val="220"/>
                              </w:trPr>
                              <w:tc>
                                <w:tcPr>
                                  <w:tcW w:w="2440" w:type="dxa"/>
                                  <w:gridSpan w:val="3"/>
                                  <w:tcBorders>
                                    <w:bottom w:val="single" w:sz="8" w:space="0" w:color="CCE1DA"/>
                                  </w:tcBorders>
                                  <w:shd w:val="clear" w:color="auto" w:fill="CCE1DA"/>
                                </w:tcPr>
                                <w:p w14:paraId="533F74C7" w14:textId="33EFFA02" w:rsidR="006A09E7" w:rsidRPr="001D4D66" w:rsidRDefault="006A09E7" w:rsidP="00547654">
                                  <w:pPr>
                                    <w:pStyle w:val="KIIDtext1"/>
                                    <w:autoSpaceDE w:val="0"/>
                                    <w:autoSpaceDN w:val="0"/>
                                    <w:adjustRightInd w:val="0"/>
                                    <w:spacing w:line="200" w:lineRule="exact"/>
                                    <w:rPr>
                                      <w:rFonts w:cs="Arial"/>
                                      <w:color w:val="006747"/>
                                      <w:sz w:val="16"/>
                                      <w:szCs w:val="16"/>
                                      <w:lang w:val="fr-FR"/>
                                    </w:rPr>
                                  </w:pPr>
                                  <w:r w:rsidRPr="001D4D66">
                                    <w:rPr>
                                      <w:rFonts w:cs="Arial"/>
                                      <w:b/>
                                      <w:color w:val="006747"/>
                                      <w:sz w:val="16"/>
                                      <w:szCs w:val="16"/>
                                      <w:lang w:val="fr-FR"/>
                                    </w:rPr>
                                    <w:t>Frais courants</w:t>
                                  </w:r>
                                </w:p>
                              </w:tc>
                              <w:tc>
                                <w:tcPr>
                                  <w:tcW w:w="2634" w:type="dxa"/>
                                  <w:gridSpan w:val="3"/>
                                  <w:tcBorders>
                                    <w:bottom w:val="single" w:sz="8" w:space="0" w:color="CCE1DA"/>
                                    <w:right w:val="single" w:sz="8" w:space="0" w:color="CCE1DA"/>
                                  </w:tcBorders>
                                  <w:shd w:val="clear" w:color="auto" w:fill="auto"/>
                                </w:tcPr>
                                <w:p w14:paraId="446FE436" w14:textId="49ED241C" w:rsidR="006A09E7" w:rsidRPr="001D4D66" w:rsidRDefault="006A09E7" w:rsidP="00260AA8">
                                  <w:pPr>
                                    <w:pStyle w:val="KIIDtext1"/>
                                    <w:autoSpaceDE w:val="0"/>
                                    <w:autoSpaceDN w:val="0"/>
                                    <w:adjustRightInd w:val="0"/>
                                    <w:spacing w:line="200" w:lineRule="exact"/>
                                    <w:rPr>
                                      <w:rFonts w:cs="Arial"/>
                                      <w:b/>
                                      <w:sz w:val="16"/>
                                      <w:szCs w:val="16"/>
                                      <w:lang w:val="fr-FR"/>
                                    </w:rPr>
                                  </w:pPr>
                                  <w:r w:rsidRPr="001D4D66">
                                    <w:rPr>
                                      <w:rFonts w:cs="Arial"/>
                                      <w:sz w:val="16"/>
                                      <w:szCs w:val="16"/>
                                      <w:lang w:val="fr-FR"/>
                                    </w:rPr>
                                    <w:t>0,63 %</w:t>
                                  </w:r>
                                </w:p>
                              </w:tc>
                            </w:tr>
                            <w:tr w:rsidR="006A09E7" w:rsidRPr="001D4D66" w14:paraId="473D24F6" w14:textId="77777777" w:rsidTr="003E6915">
                              <w:trPr>
                                <w:trHeight w:val="262"/>
                              </w:trPr>
                              <w:tc>
                                <w:tcPr>
                                  <w:tcW w:w="5074" w:type="dxa"/>
                                  <w:gridSpan w:val="6"/>
                                  <w:shd w:val="clear" w:color="auto" w:fill="006747"/>
                                </w:tcPr>
                                <w:p w14:paraId="39E2A768" w14:textId="4F138391" w:rsidR="006A09E7" w:rsidRPr="001D4D66" w:rsidRDefault="006A09E7" w:rsidP="00547654">
                                  <w:pPr>
                                    <w:pStyle w:val="KIIDtext1"/>
                                    <w:autoSpaceDE w:val="0"/>
                                    <w:autoSpaceDN w:val="0"/>
                                    <w:adjustRightInd w:val="0"/>
                                    <w:spacing w:after="0" w:line="200" w:lineRule="exact"/>
                                    <w:rPr>
                                      <w:rFonts w:cs="Arial"/>
                                      <w:b/>
                                      <w:color w:val="FFFFFF"/>
                                      <w:spacing w:val="-2"/>
                                      <w:sz w:val="16"/>
                                      <w:szCs w:val="16"/>
                                      <w:lang w:val="fr-FR"/>
                                    </w:rPr>
                                  </w:pPr>
                                  <w:r w:rsidRPr="001D4D66">
                                    <w:rPr>
                                      <w:rFonts w:cs="Arial"/>
                                      <w:b/>
                                      <w:bCs/>
                                      <w:color w:val="FFFFFF"/>
                                      <w:sz w:val="16"/>
                                      <w:szCs w:val="16"/>
                                      <w:lang w:val="fr-FR"/>
                                    </w:rPr>
                                    <w:t>Frais prélevés par le fonds dans certaines circonstances</w:t>
                                  </w:r>
                                </w:p>
                              </w:tc>
                            </w:tr>
                            <w:tr w:rsidR="006A09E7" w:rsidRPr="001D4D66" w14:paraId="235B34B0" w14:textId="77777777" w:rsidTr="003E6915">
                              <w:trPr>
                                <w:trHeight w:val="256"/>
                              </w:trPr>
                              <w:tc>
                                <w:tcPr>
                                  <w:tcW w:w="2440" w:type="dxa"/>
                                  <w:gridSpan w:val="3"/>
                                  <w:shd w:val="clear" w:color="auto" w:fill="CCE1DA"/>
                                  <w:vAlign w:val="center"/>
                                </w:tcPr>
                                <w:p w14:paraId="0FBFC597" w14:textId="68ACDE8F" w:rsidR="006A09E7" w:rsidRPr="001D4D66" w:rsidRDefault="006A09E7" w:rsidP="00547654">
                                  <w:pPr>
                                    <w:pStyle w:val="KIIDtext1"/>
                                    <w:autoSpaceDE w:val="0"/>
                                    <w:autoSpaceDN w:val="0"/>
                                    <w:adjustRightInd w:val="0"/>
                                    <w:rPr>
                                      <w:rFonts w:cs="Arial"/>
                                      <w:b/>
                                      <w:color w:val="006747"/>
                                      <w:sz w:val="16"/>
                                      <w:szCs w:val="16"/>
                                      <w:lang w:val="fr-FR"/>
                                    </w:rPr>
                                  </w:pPr>
                                  <w:r w:rsidRPr="001D4D66">
                                    <w:rPr>
                                      <w:rFonts w:cs="Arial"/>
                                      <w:b/>
                                      <w:bCs/>
                                      <w:color w:val="006747"/>
                                      <w:sz w:val="16"/>
                                      <w:szCs w:val="16"/>
                                      <w:lang w:val="fr-FR"/>
                                    </w:rPr>
                                    <w:t>Commission de performance</w:t>
                                  </w:r>
                                </w:p>
                              </w:tc>
                              <w:tc>
                                <w:tcPr>
                                  <w:tcW w:w="2634" w:type="dxa"/>
                                  <w:gridSpan w:val="3"/>
                                  <w:tcBorders>
                                    <w:right w:val="single" w:sz="8" w:space="0" w:color="CCE1DA"/>
                                  </w:tcBorders>
                                  <w:shd w:val="clear" w:color="auto" w:fill="auto"/>
                                  <w:vAlign w:val="center"/>
                                </w:tcPr>
                                <w:p w14:paraId="4B0BEBA0" w14:textId="72F67C77" w:rsidR="006A09E7" w:rsidRPr="001D4D66" w:rsidRDefault="006A09E7"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r>
                          </w:tbl>
                          <w:p w14:paraId="265DD3B0" w14:textId="2A74F97C" w:rsidR="006A09E7" w:rsidRPr="001D4D66" w:rsidRDefault="006A09E7" w:rsidP="00AD5824">
                            <w:pPr>
                              <w:spacing w:before="40" w:after="180" w:line="200" w:lineRule="exact"/>
                              <w:ind w:right="265"/>
                              <w:rPr>
                                <w:color w:val="767171" w:themeColor="background2" w:themeShade="80"/>
                                <w:sz w:val="16"/>
                                <w:szCs w:val="17"/>
                                <w:lang w:val="fr-FR"/>
                              </w:rPr>
                            </w:pPr>
                            <w:r w:rsidRPr="001D4D66">
                              <w:rPr>
                                <w:color w:val="767171" w:themeColor="background2" w:themeShade="80"/>
                                <w:sz w:val="16"/>
                                <w:szCs w:val="17"/>
                                <w:lang w:val="fr-FR"/>
                              </w:rPr>
                              <w:t>Les frais que vous versez sont utilisés pour payer les frais d’exploitation du Compartiment, notamment les frais de commercialisation et de distribution. Ces frais réduisent la croissance potentielle de vos investissements.</w:t>
                            </w:r>
                          </w:p>
                          <w:p w14:paraId="49F259AB" w14:textId="3CB864EC" w:rsidR="006A09E7" w:rsidRPr="00EC7D6F" w:rsidRDefault="006A09E7"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43" style="position:absolute;margin-left:221.25pt;margin-top:-20.25pt;width:269pt;height:18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" filled="f" strokecolor="#006747">
                <v:textbox>
                  <w:txbxContent>
                    <w:tbl>
                      <w:tblPr>
                        <w:tblW w:w="5074" w:type="dxa"/>
                        <w:tblCellMar>
                          <w:top w:w="28" w:type="dxa"/>
                        </w:tblCellMar>
                        <w:tblLook w:val="04A0" w:firstRow="1" w:lastRow="0" w:firstColumn="1" w:lastColumn="0" w:noHBand="0" w:noVBand="1"/>
                      </w:tblPr>
                      <w:tblGrid>
                        <w:gridCol w:w="1596"/>
                        <w:gridCol w:w="741"/>
                        <w:gridCol w:w="103"/>
                        <w:gridCol w:w="296"/>
                        <w:gridCol w:w="1596"/>
                        <w:gridCol w:w="742"/>
                      </w:tblGrid>
                      <w:tr w:rsidR="006A09E7" w:rsidRPr="001D4D66" w14:paraId="3ACABF2B" w14:textId="77777777" w:rsidTr="003E6915">
                        <w:trPr>
                          <w:trHeight w:val="262"/>
                        </w:trPr>
                        <w:tc>
                          <w:tcPr>
                            <w:tcW w:w="5074" w:type="dxa"/>
                            <w:gridSpan w:val="6"/>
                            <w:shd w:val="clear" w:color="auto" w:fill="006747"/>
                          </w:tcPr>
                          <w:p w14:paraId="059185E8" w14:textId="2A2B0CC7" w:rsidR="006A09E7" w:rsidRPr="001D4D66" w:rsidRDefault="006A09E7" w:rsidP="00547654">
                            <w:pPr>
                              <w:tabs>
                                <w:tab w:val="left" w:pos="264"/>
                              </w:tabs>
                              <w:autoSpaceDE w:val="0"/>
                              <w:autoSpaceDN w:val="0"/>
                              <w:adjustRightInd w:val="0"/>
                              <w:spacing w:line="200" w:lineRule="exact"/>
                              <w:jc w:val="left"/>
                              <w:rPr>
                                <w:rFonts w:cs="Arial"/>
                                <w:b/>
                                <w:color w:val="FFFFFF"/>
                                <w:sz w:val="16"/>
                                <w:szCs w:val="16"/>
                                <w:lang w:val="fr-FR"/>
                              </w:rPr>
                            </w:pPr>
                            <w:r w:rsidRPr="001D4D66">
                              <w:rPr>
                                <w:rFonts w:cs="Arial"/>
                                <w:b/>
                                <w:color w:val="FFFFFF"/>
                                <w:sz w:val="16"/>
                                <w:szCs w:val="16"/>
                                <w:lang w:val="fr-FR"/>
                              </w:rPr>
                              <w:t>Frais ponctuels prélevés avant ou après investissement</w:t>
                            </w:r>
                          </w:p>
                        </w:tc>
                      </w:tr>
                      <w:tr w:rsidR="006A09E7" w:rsidRPr="001D4D66" w14:paraId="07282F6D" w14:textId="77777777" w:rsidTr="003E6915">
                        <w:trPr>
                          <w:trHeight w:val="297"/>
                        </w:trPr>
                        <w:tc>
                          <w:tcPr>
                            <w:tcW w:w="1596" w:type="dxa"/>
                            <w:tcBorders>
                              <w:bottom w:val="single" w:sz="8" w:space="0" w:color="CCE1DA"/>
                            </w:tcBorders>
                            <w:shd w:val="clear" w:color="auto" w:fill="CCE1DA"/>
                          </w:tcPr>
                          <w:p w14:paraId="0F149CB5" w14:textId="4FC4DAAB" w:rsidR="006A09E7" w:rsidRPr="001D4D66" w:rsidRDefault="006A09E7" w:rsidP="00547654">
                            <w:pPr>
                              <w:pStyle w:val="KIIDtext1"/>
                              <w:autoSpaceDE w:val="0"/>
                              <w:autoSpaceDN w:val="0"/>
                              <w:adjustRightInd w:val="0"/>
                              <w:spacing w:line="200" w:lineRule="exact"/>
                              <w:rPr>
                                <w:rFonts w:cs="Arial"/>
                                <w:color w:val="006747"/>
                                <w:sz w:val="16"/>
                                <w:szCs w:val="16"/>
                                <w:lang w:val="fr-FR"/>
                              </w:rPr>
                            </w:pPr>
                            <w:r w:rsidRPr="001D4D66">
                              <w:rPr>
                                <w:rFonts w:cs="Arial"/>
                                <w:b/>
                                <w:color w:val="006747"/>
                                <w:sz w:val="16"/>
                                <w:szCs w:val="16"/>
                                <w:lang w:val="fr-FR"/>
                              </w:rPr>
                              <w:t>Frais d’entrée</w:t>
                            </w:r>
                          </w:p>
                        </w:tc>
                        <w:tc>
                          <w:tcPr>
                            <w:tcW w:w="741" w:type="dxa"/>
                            <w:tcBorders>
                              <w:bottom w:val="single" w:sz="8" w:space="0" w:color="CCE1DA"/>
                              <w:right w:val="single" w:sz="8" w:space="0" w:color="CCE1DA"/>
                            </w:tcBorders>
                            <w:shd w:val="clear" w:color="auto" w:fill="auto"/>
                          </w:tcPr>
                          <w:p w14:paraId="24CC7531" w14:textId="474E42DB" w:rsidR="006A09E7" w:rsidRPr="001D4D66" w:rsidRDefault="006A09E7"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c>
                          <w:tcPr>
                            <w:tcW w:w="399" w:type="dxa"/>
                            <w:gridSpan w:val="2"/>
                            <w:tcBorders>
                              <w:left w:val="single" w:sz="8" w:space="0" w:color="CCE1DA"/>
                            </w:tcBorders>
                            <w:shd w:val="clear" w:color="auto" w:fill="FFFFFF"/>
                          </w:tcPr>
                          <w:p w14:paraId="52B89D6F" w14:textId="77777777" w:rsidR="006A09E7" w:rsidRPr="001D4D66" w:rsidRDefault="006A09E7" w:rsidP="00547654">
                            <w:pPr>
                              <w:pStyle w:val="KIIDtext1"/>
                              <w:autoSpaceDE w:val="0"/>
                              <w:autoSpaceDN w:val="0"/>
                              <w:adjustRightInd w:val="0"/>
                              <w:spacing w:line="200" w:lineRule="exact"/>
                              <w:rPr>
                                <w:rFonts w:cs="Arial"/>
                                <w:sz w:val="16"/>
                                <w:szCs w:val="16"/>
                                <w:lang w:val="fr-FR"/>
                              </w:rPr>
                            </w:pPr>
                          </w:p>
                        </w:tc>
                        <w:tc>
                          <w:tcPr>
                            <w:tcW w:w="1596" w:type="dxa"/>
                            <w:tcBorders>
                              <w:bottom w:val="single" w:sz="8" w:space="0" w:color="CCE1DA"/>
                            </w:tcBorders>
                            <w:shd w:val="clear" w:color="auto" w:fill="CCE1DA"/>
                          </w:tcPr>
                          <w:p w14:paraId="0F7C93DA" w14:textId="704D1725" w:rsidR="006A09E7" w:rsidRPr="001D4D66" w:rsidRDefault="006A09E7" w:rsidP="001D4D66">
                            <w:pPr>
                              <w:pStyle w:val="KIIDtext1"/>
                              <w:autoSpaceDE w:val="0"/>
                              <w:autoSpaceDN w:val="0"/>
                              <w:adjustRightInd w:val="0"/>
                              <w:spacing w:line="200" w:lineRule="exact"/>
                              <w:rPr>
                                <w:rFonts w:cs="Arial"/>
                                <w:sz w:val="16"/>
                                <w:szCs w:val="16"/>
                                <w:lang w:val="fr-FR"/>
                              </w:rPr>
                            </w:pPr>
                            <w:r w:rsidRPr="001D4D66">
                              <w:rPr>
                                <w:rFonts w:cs="Arial"/>
                                <w:b/>
                                <w:color w:val="006747"/>
                                <w:sz w:val="16"/>
                                <w:szCs w:val="16"/>
                                <w:lang w:val="fr-FR"/>
                              </w:rPr>
                              <w:t>Frais de sortie</w:t>
                            </w:r>
                          </w:p>
                        </w:tc>
                        <w:tc>
                          <w:tcPr>
                            <w:tcW w:w="742" w:type="dxa"/>
                            <w:tcBorders>
                              <w:bottom w:val="single" w:sz="8" w:space="0" w:color="CCE1DA"/>
                              <w:right w:val="single" w:sz="8" w:space="0" w:color="CCE1DA"/>
                            </w:tcBorders>
                            <w:shd w:val="clear" w:color="auto" w:fill="auto"/>
                          </w:tcPr>
                          <w:p w14:paraId="3940D495" w14:textId="389DA90B" w:rsidR="006A09E7" w:rsidRPr="001D4D66" w:rsidRDefault="006A09E7"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r>
                      <w:tr w:rsidR="006A09E7" w:rsidRPr="001D4D66" w14:paraId="1BF5D050" w14:textId="77777777" w:rsidTr="003E6915">
                        <w:trPr>
                          <w:trHeight w:val="538"/>
                        </w:trPr>
                        <w:tc>
                          <w:tcPr>
                            <w:tcW w:w="5074" w:type="dxa"/>
                            <w:gridSpan w:val="6"/>
                            <w:shd w:val="clear" w:color="auto" w:fill="auto"/>
                          </w:tcPr>
                          <w:p w14:paraId="2BB00D2A" w14:textId="1CB705D1" w:rsidR="006A09E7" w:rsidRPr="001D4D66" w:rsidRDefault="006A09E7" w:rsidP="00AD5824">
                            <w:pPr>
                              <w:pStyle w:val="KIIDtext1"/>
                              <w:autoSpaceDE w:val="0"/>
                              <w:autoSpaceDN w:val="0"/>
                              <w:adjustRightInd w:val="0"/>
                              <w:spacing w:before="40" w:after="180" w:line="200" w:lineRule="exact"/>
                              <w:rPr>
                                <w:rFonts w:cs="Arial"/>
                                <w:sz w:val="16"/>
                                <w:szCs w:val="16"/>
                                <w:lang w:val="fr-FR"/>
                              </w:rPr>
                            </w:pPr>
                            <w:r w:rsidRPr="001D4D66">
                              <w:rPr>
                                <w:rFonts w:cs="Arial"/>
                                <w:sz w:val="16"/>
                                <w:szCs w:val="16"/>
                                <w:lang w:val="fr-FR"/>
                              </w:rPr>
                              <w:t>Le pourcentage indiqué est le maximum pouvant être prélevé sur votre capital avant qu’il ne soit investi.</w:t>
                            </w:r>
                          </w:p>
                        </w:tc>
                      </w:tr>
                      <w:tr w:rsidR="006A09E7" w:rsidRPr="001D4D66" w14:paraId="3DE3479F" w14:textId="77777777" w:rsidTr="003E6915">
                        <w:trPr>
                          <w:trHeight w:val="262"/>
                        </w:trPr>
                        <w:tc>
                          <w:tcPr>
                            <w:tcW w:w="5074" w:type="dxa"/>
                            <w:gridSpan w:val="6"/>
                            <w:shd w:val="clear" w:color="auto" w:fill="006747"/>
                          </w:tcPr>
                          <w:p w14:paraId="40454E8D" w14:textId="54AF8907" w:rsidR="006A09E7" w:rsidRPr="001D4D66" w:rsidRDefault="006A09E7" w:rsidP="00547654">
                            <w:pPr>
                              <w:pStyle w:val="KIIDtext1"/>
                              <w:autoSpaceDE w:val="0"/>
                              <w:autoSpaceDN w:val="0"/>
                              <w:adjustRightInd w:val="0"/>
                              <w:spacing w:after="0" w:line="200" w:lineRule="exact"/>
                              <w:rPr>
                                <w:rFonts w:cs="Arial"/>
                                <w:b/>
                                <w:color w:val="FFFFFF"/>
                                <w:sz w:val="16"/>
                                <w:szCs w:val="16"/>
                                <w:lang w:val="fr-FR"/>
                              </w:rPr>
                            </w:pPr>
                            <w:r w:rsidRPr="001D4D66">
                              <w:rPr>
                                <w:rFonts w:cs="Arial"/>
                                <w:b/>
                                <w:color w:val="FFFFFF"/>
                                <w:sz w:val="16"/>
                                <w:szCs w:val="16"/>
                                <w:lang w:val="fr-FR"/>
                              </w:rPr>
                              <w:t>Frais prélevés par le fonds sur une année</w:t>
                            </w:r>
                          </w:p>
                        </w:tc>
                      </w:tr>
                      <w:tr w:rsidR="006A09E7" w:rsidRPr="001D4D66" w14:paraId="1392D75E" w14:textId="77777777" w:rsidTr="003E6915">
                        <w:trPr>
                          <w:trHeight w:val="220"/>
                        </w:trPr>
                        <w:tc>
                          <w:tcPr>
                            <w:tcW w:w="2440" w:type="dxa"/>
                            <w:gridSpan w:val="3"/>
                            <w:tcBorders>
                              <w:bottom w:val="single" w:sz="8" w:space="0" w:color="CCE1DA"/>
                            </w:tcBorders>
                            <w:shd w:val="clear" w:color="auto" w:fill="CCE1DA"/>
                          </w:tcPr>
                          <w:p w14:paraId="533F74C7" w14:textId="33EFFA02" w:rsidR="006A09E7" w:rsidRPr="001D4D66" w:rsidRDefault="006A09E7" w:rsidP="00547654">
                            <w:pPr>
                              <w:pStyle w:val="KIIDtext1"/>
                              <w:autoSpaceDE w:val="0"/>
                              <w:autoSpaceDN w:val="0"/>
                              <w:adjustRightInd w:val="0"/>
                              <w:spacing w:line="200" w:lineRule="exact"/>
                              <w:rPr>
                                <w:rFonts w:cs="Arial"/>
                                <w:color w:val="006747"/>
                                <w:sz w:val="16"/>
                                <w:szCs w:val="16"/>
                                <w:lang w:val="fr-FR"/>
                              </w:rPr>
                            </w:pPr>
                            <w:r w:rsidRPr="001D4D66">
                              <w:rPr>
                                <w:rFonts w:cs="Arial"/>
                                <w:b/>
                                <w:color w:val="006747"/>
                                <w:sz w:val="16"/>
                                <w:szCs w:val="16"/>
                                <w:lang w:val="fr-FR"/>
                              </w:rPr>
                              <w:t>Frais courants</w:t>
                            </w:r>
                          </w:p>
                        </w:tc>
                        <w:tc>
                          <w:tcPr>
                            <w:tcW w:w="2634" w:type="dxa"/>
                            <w:gridSpan w:val="3"/>
                            <w:tcBorders>
                              <w:bottom w:val="single" w:sz="8" w:space="0" w:color="CCE1DA"/>
                              <w:right w:val="single" w:sz="8" w:space="0" w:color="CCE1DA"/>
                            </w:tcBorders>
                            <w:shd w:val="clear" w:color="auto" w:fill="auto"/>
                          </w:tcPr>
                          <w:p w14:paraId="446FE436" w14:textId="49ED241C" w:rsidR="006A09E7" w:rsidRPr="001D4D66" w:rsidRDefault="006A09E7" w:rsidP="00260AA8">
                            <w:pPr>
                              <w:pStyle w:val="KIIDtext1"/>
                              <w:autoSpaceDE w:val="0"/>
                              <w:autoSpaceDN w:val="0"/>
                              <w:adjustRightInd w:val="0"/>
                              <w:spacing w:line="200" w:lineRule="exact"/>
                              <w:rPr>
                                <w:rFonts w:cs="Arial"/>
                                <w:b/>
                                <w:sz w:val="16"/>
                                <w:szCs w:val="16"/>
                                <w:lang w:val="fr-FR"/>
                              </w:rPr>
                            </w:pPr>
                            <w:r w:rsidRPr="001D4D66">
                              <w:rPr>
                                <w:rFonts w:cs="Arial"/>
                                <w:sz w:val="16"/>
                                <w:szCs w:val="16"/>
                                <w:lang w:val="fr-FR"/>
                              </w:rPr>
                              <w:t>0,63 %</w:t>
                            </w:r>
                          </w:p>
                        </w:tc>
                      </w:tr>
                      <w:tr w:rsidR="006A09E7" w:rsidRPr="001D4D66" w14:paraId="473D24F6" w14:textId="77777777" w:rsidTr="003E6915">
                        <w:trPr>
                          <w:trHeight w:val="262"/>
                        </w:trPr>
                        <w:tc>
                          <w:tcPr>
                            <w:tcW w:w="5074" w:type="dxa"/>
                            <w:gridSpan w:val="6"/>
                            <w:shd w:val="clear" w:color="auto" w:fill="006747"/>
                          </w:tcPr>
                          <w:p w14:paraId="39E2A768" w14:textId="4F138391" w:rsidR="006A09E7" w:rsidRPr="001D4D66" w:rsidRDefault="006A09E7" w:rsidP="00547654">
                            <w:pPr>
                              <w:pStyle w:val="KIIDtext1"/>
                              <w:autoSpaceDE w:val="0"/>
                              <w:autoSpaceDN w:val="0"/>
                              <w:adjustRightInd w:val="0"/>
                              <w:spacing w:after="0" w:line="200" w:lineRule="exact"/>
                              <w:rPr>
                                <w:rFonts w:cs="Arial"/>
                                <w:b/>
                                <w:color w:val="FFFFFF"/>
                                <w:spacing w:val="-2"/>
                                <w:sz w:val="16"/>
                                <w:szCs w:val="16"/>
                                <w:lang w:val="fr-FR"/>
                              </w:rPr>
                            </w:pPr>
                            <w:r w:rsidRPr="001D4D66">
                              <w:rPr>
                                <w:rFonts w:cs="Arial"/>
                                <w:b/>
                                <w:bCs/>
                                <w:color w:val="FFFFFF"/>
                                <w:sz w:val="16"/>
                                <w:szCs w:val="16"/>
                                <w:lang w:val="fr-FR"/>
                              </w:rPr>
                              <w:t>Frais prélevés par le fonds dans certaines circonstances</w:t>
                            </w:r>
                          </w:p>
                        </w:tc>
                      </w:tr>
                      <w:tr w:rsidR="006A09E7" w:rsidRPr="001D4D66" w14:paraId="235B34B0" w14:textId="77777777" w:rsidTr="003E6915">
                        <w:trPr>
                          <w:trHeight w:val="256"/>
                        </w:trPr>
                        <w:tc>
                          <w:tcPr>
                            <w:tcW w:w="2440" w:type="dxa"/>
                            <w:gridSpan w:val="3"/>
                            <w:shd w:val="clear" w:color="auto" w:fill="CCE1DA"/>
                            <w:vAlign w:val="center"/>
                          </w:tcPr>
                          <w:p w14:paraId="0FBFC597" w14:textId="68ACDE8F" w:rsidR="006A09E7" w:rsidRPr="001D4D66" w:rsidRDefault="006A09E7" w:rsidP="00547654">
                            <w:pPr>
                              <w:pStyle w:val="KIIDtext1"/>
                              <w:autoSpaceDE w:val="0"/>
                              <w:autoSpaceDN w:val="0"/>
                              <w:adjustRightInd w:val="0"/>
                              <w:rPr>
                                <w:rFonts w:cs="Arial"/>
                                <w:b/>
                                <w:color w:val="006747"/>
                                <w:sz w:val="16"/>
                                <w:szCs w:val="16"/>
                                <w:lang w:val="fr-FR"/>
                              </w:rPr>
                            </w:pPr>
                            <w:r w:rsidRPr="001D4D66">
                              <w:rPr>
                                <w:rFonts w:cs="Arial"/>
                                <w:b/>
                                <w:bCs/>
                                <w:color w:val="006747"/>
                                <w:sz w:val="16"/>
                                <w:szCs w:val="16"/>
                                <w:lang w:val="fr-FR"/>
                              </w:rPr>
                              <w:t>Commission de performance</w:t>
                            </w:r>
                          </w:p>
                        </w:tc>
                        <w:tc>
                          <w:tcPr>
                            <w:tcW w:w="2634" w:type="dxa"/>
                            <w:gridSpan w:val="3"/>
                            <w:tcBorders>
                              <w:right w:val="single" w:sz="8" w:space="0" w:color="CCE1DA"/>
                            </w:tcBorders>
                            <w:shd w:val="clear" w:color="auto" w:fill="auto"/>
                            <w:vAlign w:val="center"/>
                          </w:tcPr>
                          <w:p w14:paraId="4B0BEBA0" w14:textId="72F67C77" w:rsidR="006A09E7" w:rsidRPr="001D4D66" w:rsidRDefault="006A09E7"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r>
                    </w:tbl>
                    <w:p w14:paraId="265DD3B0" w14:textId="2A74F97C" w:rsidR="006A09E7" w:rsidRPr="001D4D66" w:rsidRDefault="006A09E7" w:rsidP="00AD5824">
                      <w:pPr>
                        <w:spacing w:before="40" w:after="180" w:line="200" w:lineRule="exact"/>
                        <w:ind w:right="265"/>
                        <w:rPr>
                          <w:color w:val="767171" w:themeColor="background2" w:themeShade="80"/>
                          <w:sz w:val="16"/>
                          <w:szCs w:val="17"/>
                          <w:lang w:val="fr-FR"/>
                        </w:rPr>
                      </w:pPr>
                      <w:r w:rsidRPr="001D4D66">
                        <w:rPr>
                          <w:color w:val="767171" w:themeColor="background2" w:themeShade="80"/>
                          <w:sz w:val="16"/>
                          <w:szCs w:val="17"/>
                          <w:lang w:val="fr-FR"/>
                        </w:rPr>
                        <w:t>Les frais que vous versez sont utilisés pour payer les frais d’exploitation du Compartiment, notamment les frais de commercialisation et de distribution. Ces frais réduisent la croissance potentielle de vos investissements.</w:t>
                      </w:r>
                    </w:p>
                    <w:p w14:paraId="49F259AB" w14:textId="3CB864EC" w:rsidR="006A09E7" w:rsidRPr="00EC7D6F" w:rsidRDefault="006A09E7" w:rsidP="00547654">
                      <w:pPr>
                        <w:rPr>
                          <w:sz w:val="17"/>
                          <w:szCs w:val="17"/>
                        </w:rPr>
                      </w:pPr>
                    </w:p>
                  </w:txbxContent>
                </v:textbox>
              </v:rect>
            </w:pict>
          </mc:Fallback>
        </mc:AlternateContent>
      </w:r>
      <w:r w:rsidRPr="009F3545">
        <w:rPr>
          <w:noProof/>
          <w:lang w:val="de-DE" w:eastAsia="ja-JP"/>
        </w:rPr>
        <mc:AlternateContent>
          <mc:Choice Requires="wps">
            <w:drawing>
              <wp:anchor distT="0" distB="0" distL="114300" distR="114300" simplePos="0" relativeHeight="251678720" behindDoc="0" locked="0" layoutInCell="1" allowOverlap="1" wp14:anchorId="314135DF" wp14:editId="372942C8">
                <wp:simplePos x="0" y="0"/>
                <wp:positionH relativeFrom="column">
                  <wp:posOffset>-561975</wp:posOffset>
                </wp:positionH>
                <wp:positionV relativeFrom="paragraph">
                  <wp:posOffset>-200025</wp:posOffset>
                </wp:positionV>
                <wp:extent cx="3346450" cy="2276475"/>
                <wp:effectExtent l="0" t="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EBB7D" w14:textId="214ECA02" w:rsidR="006A09E7" w:rsidRPr="00AD5824" w:rsidRDefault="006A09E7" w:rsidP="00970F25">
                            <w:pPr>
                              <w:pStyle w:val="KIIDtext1"/>
                              <w:rPr>
                                <w:rFonts w:asciiTheme="minorBidi" w:hAnsiTheme="minorBidi" w:cstheme="minorBidi"/>
                                <w:sz w:val="16"/>
                                <w:szCs w:val="16"/>
                                <w:lang w:val="fr-FR"/>
                              </w:rPr>
                            </w:pPr>
                            <w:r w:rsidRPr="00AD5824">
                              <w:rPr>
                                <w:rFonts w:asciiTheme="minorBidi" w:hAnsiTheme="minorBidi" w:cstheme="minorBidi"/>
                                <w:sz w:val="16"/>
                                <w:szCs w:val="16"/>
                                <w:lang w:val="fr-FR"/>
                              </w:rPr>
                              <w:t>Les frais d’entrée indiqués sont un montant maximal. Dans certains cas, vous pouvez payer moins. Votre conseiller financier peut vous conseiller à ce sujet.</w:t>
                            </w:r>
                          </w:p>
                          <w:p w14:paraId="1A04786B" w14:textId="584FA8B1" w:rsidR="006A09E7" w:rsidRPr="00AD5824" w:rsidRDefault="006A09E7" w:rsidP="00AD5824">
                            <w:pPr>
                              <w:pStyle w:val="KIIDtext1"/>
                              <w:rPr>
                                <w:rFonts w:asciiTheme="minorBidi" w:hAnsiTheme="minorBidi" w:cstheme="minorBidi"/>
                                <w:sz w:val="16"/>
                                <w:szCs w:val="16"/>
                                <w:lang w:val="en-GB"/>
                              </w:rPr>
                            </w:pPr>
                            <w:r w:rsidRPr="00AD5824">
                              <w:rPr>
                                <w:rFonts w:asciiTheme="minorBidi" w:hAnsiTheme="minorBidi" w:cstheme="minorBidi"/>
                                <w:sz w:val="16"/>
                                <w:szCs w:val="16"/>
                                <w:lang w:val="fr-FR"/>
                              </w:rPr>
                              <w:t>La valeur indiquée pour les frais récurrents se base sur les frais maximaux pour l’exercice clos en décembre 2021. Le Gestionnaire a renoncé à sa commission d’investissement. La valeur indiquée pour les frais récurrents n’inclut aucune commission de gestion. Elle exclut les coûts de transaction de portefeuille autres que les frais de souscription et de sortie dans d’autres fonds d’investissement (le cas échéant). Cette valeur peut fluctuer d’exercice en exercice</w:t>
                            </w:r>
                            <w:r w:rsidRPr="00AD5824">
                              <w:rPr>
                                <w:rFonts w:asciiTheme="minorBidi" w:hAnsiTheme="minorBidi" w:cstheme="minorBidi"/>
                                <w:sz w:val="16"/>
                                <w:szCs w:val="16"/>
                                <w:lang w:val="en-GB"/>
                              </w:rPr>
                              <w:t>.</w:t>
                            </w:r>
                          </w:p>
                          <w:p w14:paraId="452EE53E" w14:textId="36AD6A59" w:rsidR="006A09E7" w:rsidRPr="00AD5824" w:rsidRDefault="006A09E7" w:rsidP="00745DF9">
                            <w:pPr>
                              <w:pStyle w:val="KIIDtext1"/>
                              <w:rPr>
                                <w:rFonts w:asciiTheme="minorBidi" w:hAnsiTheme="minorBidi" w:cstheme="minorBidi"/>
                                <w:sz w:val="16"/>
                                <w:szCs w:val="16"/>
                              </w:rPr>
                            </w:pPr>
                            <w:r w:rsidRPr="00AD5824">
                              <w:rPr>
                                <w:rFonts w:asciiTheme="minorBidi" w:hAnsiTheme="minorBidi" w:cstheme="minorBidi"/>
                                <w:sz w:val="16"/>
                                <w:szCs w:val="16"/>
                                <w:lang w:val="fr-FR"/>
                              </w:rPr>
                              <w:t>Pour tous les détails relatifs aux frais applicables au Fonds, veuillez vous rapporter à la section « Frais et dépenses » du Prospectus et du Supplément.</w:t>
                            </w:r>
                          </w:p>
                          <w:p w14:paraId="30D1EE05" w14:textId="77777777" w:rsidR="006A09E7" w:rsidRPr="00B12448" w:rsidRDefault="006A09E7" w:rsidP="00745DF9">
                            <w:pPr>
                              <w:pStyle w:val="KIIDtext1"/>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44" type="#_x0000_t202" style="position:absolute;margin-left:-44.25pt;margin-top:-15.75pt;width:263.5pt;height:17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" stroked="f">
                <v:textbox>
                  <w:txbxContent>
                    <w:p w14:paraId="27AEBB7D" w14:textId="214ECA02" w:rsidR="006A09E7" w:rsidRPr="00AD5824" w:rsidRDefault="006A09E7" w:rsidP="00970F25">
                      <w:pPr>
                        <w:pStyle w:val="KIIDtext1"/>
                        <w:rPr>
                          <w:rFonts w:asciiTheme="minorBidi" w:hAnsiTheme="minorBidi" w:cstheme="minorBidi"/>
                          <w:sz w:val="16"/>
                          <w:szCs w:val="16"/>
                          <w:lang w:val="fr-FR"/>
                        </w:rPr>
                      </w:pPr>
                      <w:r w:rsidRPr="00AD5824">
                        <w:rPr>
                          <w:rFonts w:asciiTheme="minorBidi" w:hAnsiTheme="minorBidi" w:cstheme="minorBidi"/>
                          <w:sz w:val="16"/>
                          <w:szCs w:val="16"/>
                          <w:lang w:val="fr-FR"/>
                        </w:rPr>
                        <w:t>Les frais d’entrée indiqués sont un montant maximal. Dans certains cas, vous pouvez payer moins. Votre conseiller financier peut vous conseiller à ce sujet.</w:t>
                      </w:r>
                    </w:p>
                    <w:p w14:paraId="1A04786B" w14:textId="584FA8B1" w:rsidR="006A09E7" w:rsidRPr="00AD5824" w:rsidRDefault="006A09E7" w:rsidP="00AD5824">
                      <w:pPr>
                        <w:pStyle w:val="KIIDtext1"/>
                        <w:rPr>
                          <w:rFonts w:asciiTheme="minorBidi" w:hAnsiTheme="minorBidi" w:cstheme="minorBidi"/>
                          <w:sz w:val="16"/>
                          <w:szCs w:val="16"/>
                          <w:lang w:val="en-GB"/>
                        </w:rPr>
                      </w:pPr>
                      <w:r w:rsidRPr="00AD5824">
                        <w:rPr>
                          <w:rFonts w:asciiTheme="minorBidi" w:hAnsiTheme="minorBidi" w:cstheme="minorBidi"/>
                          <w:sz w:val="16"/>
                          <w:szCs w:val="16"/>
                          <w:lang w:val="fr-FR"/>
                        </w:rPr>
                        <w:t>La valeur indiquée pour les frais récurrents se base sur les frais maximaux pour l’exercice clos en décembre 2021. Le Gestionnaire a renoncé à sa commission d’investissement. La valeur indiquée pour les frais récurrents n’inclut aucune commission de gestion. Elle exclut les coûts de transaction de portefeuille autres que les frais de souscription et de sortie dans d’autres fonds d’investissement (le cas échéant). Cette valeur peut fluctuer d’exercice en exercice</w:t>
                      </w:r>
                      <w:r w:rsidRPr="00AD5824">
                        <w:rPr>
                          <w:rFonts w:asciiTheme="minorBidi" w:hAnsiTheme="minorBidi" w:cstheme="minorBidi"/>
                          <w:sz w:val="16"/>
                          <w:szCs w:val="16"/>
                          <w:lang w:val="en-GB"/>
                        </w:rPr>
                        <w:t>.</w:t>
                      </w:r>
                    </w:p>
                    <w:p w14:paraId="452EE53E" w14:textId="36AD6A59" w:rsidR="006A09E7" w:rsidRPr="00AD5824" w:rsidRDefault="006A09E7" w:rsidP="00745DF9">
                      <w:pPr>
                        <w:pStyle w:val="KIIDtext1"/>
                        <w:rPr>
                          <w:rFonts w:asciiTheme="minorBidi" w:hAnsiTheme="minorBidi" w:cstheme="minorBidi"/>
                          <w:sz w:val="16"/>
                          <w:szCs w:val="16"/>
                        </w:rPr>
                      </w:pPr>
                      <w:r w:rsidRPr="00AD5824">
                        <w:rPr>
                          <w:rFonts w:asciiTheme="minorBidi" w:hAnsiTheme="minorBidi" w:cstheme="minorBidi"/>
                          <w:sz w:val="16"/>
                          <w:szCs w:val="16"/>
                          <w:lang w:val="fr-FR"/>
                        </w:rPr>
                        <w:t>Pour tous les détails relatifs aux frais applicables au Fonds, veuillez vous rapporter à la section « Frais et dépenses » du Prospectus et du Supplément.</w:t>
                      </w:r>
                    </w:p>
                    <w:p w14:paraId="30D1EE05" w14:textId="77777777" w:rsidR="006A09E7" w:rsidRPr="00B12448" w:rsidRDefault="006A09E7" w:rsidP="00745DF9">
                      <w:pPr>
                        <w:pStyle w:val="KIIDtext1"/>
                        <w:rPr>
                          <w:sz w:val="17"/>
                          <w:szCs w:val="17"/>
                        </w:rPr>
                      </w:pPr>
                    </w:p>
                  </w:txbxContent>
                </v:textbox>
              </v:shape>
            </w:pict>
          </mc:Fallback>
        </mc:AlternateContent>
      </w:r>
      <w:r w:rsidR="001D4D66" w:rsidRPr="009F3545">
        <w:rPr>
          <w:noProof/>
          <w:lang w:val="de-DE" w:eastAsia="ja-JP"/>
        </w:rPr>
        <mc:AlternateContent>
          <mc:Choice Requires="wps">
            <w:drawing>
              <wp:anchor distT="0" distB="0" distL="114300" distR="114300" simplePos="0" relativeHeight="251674624" behindDoc="0" locked="0" layoutInCell="1" allowOverlap="1" wp14:anchorId="18404AF7" wp14:editId="5D857CB5">
                <wp:simplePos x="0" y="0"/>
                <wp:positionH relativeFrom="column">
                  <wp:posOffset>-569595</wp:posOffset>
                </wp:positionH>
                <wp:positionV relativeFrom="paragraph">
                  <wp:posOffset>-391160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1BD7A034" w:rsidR="006A09E7" w:rsidRPr="006F31C1" w:rsidRDefault="006A09E7" w:rsidP="001D4D66">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45" type="#_x0000_t202" style="position:absolute;margin-left:-44.85pt;margin-top:-30.8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Aq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c&#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" stroked="f">
                <v:textbox>
                  <w:txbxContent>
                    <w:p w14:paraId="6806782D" w14:textId="1BD7A034" w:rsidR="006A09E7" w:rsidRPr="006F31C1" w:rsidRDefault="006A09E7" w:rsidP="001D4D66">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txbxContent>
                </v:textbox>
              </v:shape>
            </w:pict>
          </mc:Fallback>
        </mc:AlternateContent>
      </w:r>
    </w:p>
    <w:p w14:paraId="2EAC6F4B" w14:textId="1941FC9C" w:rsidR="005B6E23" w:rsidRPr="009F3545" w:rsidRDefault="005B6E23">
      <w:pPr>
        <w:widowControl/>
        <w:spacing w:after="160" w:line="259" w:lineRule="auto"/>
        <w:jc w:val="left"/>
        <w:rPr>
          <w:lang w:val="fr-FR"/>
        </w:rPr>
      </w:pPr>
    </w:p>
    <w:p w14:paraId="28366717" w14:textId="1B007B66" w:rsidR="00CB0F6B" w:rsidRPr="009F3545" w:rsidRDefault="00CB0F6B">
      <w:pPr>
        <w:widowControl/>
        <w:spacing w:after="160" w:line="259" w:lineRule="auto"/>
        <w:jc w:val="left"/>
        <w:rPr>
          <w:lang w:val="fr-FR"/>
        </w:rPr>
      </w:pPr>
    </w:p>
    <w:p w14:paraId="4A1DA4D6" w14:textId="2EB1D1A6" w:rsidR="00CB0F6B" w:rsidRPr="009F3545" w:rsidRDefault="00CB0F6B">
      <w:pPr>
        <w:widowControl/>
        <w:spacing w:after="160" w:line="259" w:lineRule="auto"/>
        <w:jc w:val="left"/>
        <w:rPr>
          <w:lang w:val="fr-FR"/>
        </w:rPr>
      </w:pPr>
    </w:p>
    <w:p w14:paraId="6E498A85" w14:textId="258DA246" w:rsidR="00CB0F6B" w:rsidRPr="009F3545" w:rsidRDefault="00CB0F6B">
      <w:pPr>
        <w:widowControl/>
        <w:spacing w:after="160" w:line="259" w:lineRule="auto"/>
        <w:jc w:val="left"/>
        <w:rPr>
          <w:lang w:val="fr-FR"/>
        </w:rPr>
      </w:pPr>
    </w:p>
    <w:p w14:paraId="1653F5EC" w14:textId="7F6D30EF" w:rsidR="00CB0F6B" w:rsidRPr="009F3545" w:rsidRDefault="00CB0F6B">
      <w:pPr>
        <w:widowControl/>
        <w:spacing w:after="160" w:line="259" w:lineRule="auto"/>
        <w:jc w:val="left"/>
        <w:rPr>
          <w:lang w:val="fr-FR"/>
        </w:rPr>
      </w:pPr>
    </w:p>
    <w:p w14:paraId="2E0E1DE6" w14:textId="2DDE477F" w:rsidR="00CB0F6B" w:rsidRPr="009F3545" w:rsidRDefault="00CB0F6B">
      <w:pPr>
        <w:widowControl/>
        <w:spacing w:after="160" w:line="259" w:lineRule="auto"/>
        <w:jc w:val="left"/>
        <w:rPr>
          <w:lang w:val="fr-FR"/>
        </w:rPr>
      </w:pPr>
    </w:p>
    <w:p w14:paraId="6E9DDF1D" w14:textId="6C050B28" w:rsidR="00CB0F6B" w:rsidRPr="009F3545" w:rsidRDefault="00CB0F6B">
      <w:pPr>
        <w:widowControl/>
        <w:spacing w:after="160" w:line="259" w:lineRule="auto"/>
        <w:jc w:val="left"/>
        <w:rPr>
          <w:lang w:val="fr-FR"/>
        </w:rPr>
      </w:pPr>
    </w:p>
    <w:p w14:paraId="39853E37" w14:textId="1889F8CB" w:rsidR="00CB0F6B" w:rsidRPr="009F3545" w:rsidRDefault="00970F25">
      <w:pPr>
        <w:widowControl/>
        <w:spacing w:after="160" w:line="259" w:lineRule="auto"/>
        <w:jc w:val="left"/>
        <w:rPr>
          <w:lang w:val="fr-FR"/>
        </w:rPr>
      </w:pPr>
      <w:r w:rsidRPr="009F3545">
        <w:rPr>
          <w:noProof/>
          <w:lang w:val="de-DE" w:eastAsia="ja-JP"/>
        </w:rPr>
        <mc:AlternateContent>
          <mc:Choice Requires="wps">
            <w:drawing>
              <wp:anchor distT="0" distB="0" distL="114300" distR="114300" simplePos="0" relativeHeight="251682816" behindDoc="0" locked="0" layoutInCell="1" allowOverlap="1" wp14:anchorId="0E57E85D" wp14:editId="1F88E19B">
                <wp:simplePos x="0" y="0"/>
                <wp:positionH relativeFrom="column">
                  <wp:posOffset>-525145</wp:posOffset>
                </wp:positionH>
                <wp:positionV relativeFrom="paragraph">
                  <wp:posOffset>168910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1C85D" w14:textId="77777777" w:rsidR="006A09E7" w:rsidRPr="008F2C76" w:rsidRDefault="006A09E7" w:rsidP="001D4D66">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6917D48B" w:rsidR="006A09E7" w:rsidRPr="006F31C1" w:rsidRDefault="006A09E7"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6" type="#_x0000_t202" style="position:absolute;margin-left:-41.35pt;margin-top:13.3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cE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S&#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" stroked="f">
                <v:textbox>
                  <w:txbxContent>
                    <w:p w14:paraId="5241C85D" w14:textId="77777777" w:rsidR="006A09E7" w:rsidRPr="008F2C76" w:rsidRDefault="006A09E7" w:rsidP="001D4D66">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6917D48B" w:rsidR="006A09E7" w:rsidRPr="006F31C1" w:rsidRDefault="006A09E7"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43360E40" w14:textId="39B2C094" w:rsidR="00F631E3" w:rsidRPr="009F3545" w:rsidRDefault="009F3545">
      <w:pPr>
        <w:widowControl/>
        <w:spacing w:after="160" w:line="259" w:lineRule="auto"/>
        <w:jc w:val="left"/>
        <w:rPr>
          <w:lang w:val="fr-FR"/>
        </w:rPr>
      </w:pPr>
      <w:r>
        <w:rPr>
          <w:noProof/>
          <w:lang w:val="de-DE" w:eastAsia="ja-JP"/>
        </w:rPr>
        <w:drawing>
          <wp:anchor distT="0" distB="0" distL="114300" distR="114300" simplePos="0" relativeHeight="251734016" behindDoc="0" locked="0" layoutInCell="1" allowOverlap="1" wp14:anchorId="19D7528D" wp14:editId="410733FB">
            <wp:simplePos x="0" y="0"/>
            <wp:positionH relativeFrom="column">
              <wp:posOffset>-123825</wp:posOffset>
            </wp:positionH>
            <wp:positionV relativeFrom="paragraph">
              <wp:posOffset>200660</wp:posOffset>
            </wp:positionV>
            <wp:extent cx="2997200" cy="2019300"/>
            <wp:effectExtent l="0" t="0" r="0" b="0"/>
            <wp:wrapSquare wrapText="bothSides"/>
            <wp:docPr id="16" name="Picture 16"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waterfall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7200" cy="2019300"/>
                    </a:xfrm>
                    <a:prstGeom prst="rect">
                      <a:avLst/>
                    </a:prstGeom>
                    <a:noFill/>
                  </pic:spPr>
                </pic:pic>
              </a:graphicData>
            </a:graphic>
            <wp14:sizeRelH relativeFrom="page">
              <wp14:pctWidth>0</wp14:pctWidth>
            </wp14:sizeRelH>
            <wp14:sizeRelV relativeFrom="page">
              <wp14:pctHeight>0</wp14:pctHeight>
            </wp14:sizeRelV>
          </wp:anchor>
        </w:drawing>
      </w:r>
      <w:r w:rsidR="00970F25" w:rsidRPr="009F3545">
        <w:rPr>
          <w:noProof/>
          <w:color w:val="000000"/>
          <w:lang w:val="de-DE" w:eastAsia="ja-JP"/>
        </w:rPr>
        <mc:AlternateContent>
          <mc:Choice Requires="wps">
            <w:drawing>
              <wp:anchor distT="0" distB="0" distL="114300" distR="114300" simplePos="0" relativeHeight="251680768" behindDoc="0" locked="0" layoutInCell="1" allowOverlap="1" wp14:anchorId="2ED6B05F" wp14:editId="72983CBF">
                <wp:simplePos x="0" y="0"/>
                <wp:positionH relativeFrom="margin">
                  <wp:posOffset>-525145</wp:posOffset>
                </wp:positionH>
                <wp:positionV relativeFrom="paragraph">
                  <wp:posOffset>194945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8B1D2" id="AutoShape 129" o:spid="_x0000_s1026" type="#_x0000_t32" style="position:absolute;margin-left:-41.35pt;margin-top:15.3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" strokecolor="#006747">
                <w10:wrap anchorx="margin"/>
              </v:shape>
            </w:pict>
          </mc:Fallback>
        </mc:AlternateContent>
      </w:r>
    </w:p>
    <w:p w14:paraId="7DE48D5B" w14:textId="4FFD0B99" w:rsidR="003E383B" w:rsidRPr="009F3545" w:rsidRDefault="003E383B">
      <w:pPr>
        <w:widowControl/>
        <w:spacing w:after="160" w:line="259" w:lineRule="auto"/>
        <w:jc w:val="left"/>
        <w:rPr>
          <w:lang w:val="fr-FR"/>
        </w:rPr>
      </w:pPr>
    </w:p>
    <w:p w14:paraId="04FC5D2C" w14:textId="6CD85270" w:rsidR="00B12448" w:rsidRPr="009F3545" w:rsidRDefault="00B12448">
      <w:pPr>
        <w:widowControl/>
        <w:spacing w:after="160" w:line="259" w:lineRule="auto"/>
        <w:jc w:val="left"/>
        <w:rPr>
          <w:lang w:val="fr-FR"/>
        </w:rPr>
      </w:pPr>
    </w:p>
    <w:p w14:paraId="1585E402" w14:textId="73335647" w:rsidR="00B12448" w:rsidRPr="009F3545" w:rsidRDefault="007075CA">
      <w:pPr>
        <w:widowControl/>
        <w:spacing w:after="160" w:line="259" w:lineRule="auto"/>
        <w:jc w:val="left"/>
        <w:rPr>
          <w:lang w:val="fr-FR"/>
        </w:rPr>
      </w:pPr>
      <w:r w:rsidRPr="009F3545">
        <w:rPr>
          <w:noProof/>
          <w:lang w:val="de-DE" w:eastAsia="ja-JP"/>
        </w:rPr>
        <w:drawing>
          <wp:anchor distT="0" distB="0" distL="114300" distR="114300" simplePos="0" relativeHeight="251705344" behindDoc="0" locked="0" layoutInCell="1" allowOverlap="1" wp14:anchorId="4D17BF69" wp14:editId="68711F46">
            <wp:simplePos x="0" y="0"/>
            <wp:positionH relativeFrom="column">
              <wp:posOffset>4603115</wp:posOffset>
            </wp:positionH>
            <wp:positionV relativeFrom="paragraph">
              <wp:posOffset>5664200</wp:posOffset>
            </wp:positionV>
            <wp:extent cx="1521460" cy="715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460" cy="715010"/>
                    </a:xfrm>
                    <a:prstGeom prst="rect">
                      <a:avLst/>
                    </a:prstGeom>
                  </pic:spPr>
                </pic:pic>
              </a:graphicData>
            </a:graphic>
            <wp14:sizeRelH relativeFrom="page">
              <wp14:pctWidth>0</wp14:pctWidth>
            </wp14:sizeRelH>
            <wp14:sizeRelV relativeFrom="page">
              <wp14:pctHeight>0</wp14:pctHeight>
            </wp14:sizeRelV>
          </wp:anchor>
        </w:drawing>
      </w:r>
      <w:r w:rsidR="00425149" w:rsidRPr="009F3545">
        <w:rPr>
          <w:noProof/>
          <w:lang w:val="de-DE" w:eastAsia="ja-JP"/>
        </w:rPr>
        <mc:AlternateContent>
          <mc:Choice Requires="wps">
            <w:drawing>
              <wp:anchor distT="0" distB="0" distL="114300" distR="114300" simplePos="0" relativeHeight="251695104" behindDoc="0" locked="0" layoutInCell="1" allowOverlap="1" wp14:anchorId="4246B9A2" wp14:editId="3096AA38">
                <wp:simplePos x="0" y="0"/>
                <wp:positionH relativeFrom="column">
                  <wp:posOffset>-219075</wp:posOffset>
                </wp:positionH>
                <wp:positionV relativeFrom="paragraph">
                  <wp:posOffset>5214620</wp:posOffset>
                </wp:positionV>
                <wp:extent cx="6381750" cy="4762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7625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1230DC0D" w14:textId="63F18C51" w:rsidR="006A09E7" w:rsidRPr="005D31F8" w:rsidRDefault="006A09E7" w:rsidP="00425149">
                            <w:pPr>
                              <w:spacing w:line="200" w:lineRule="exact"/>
                              <w:jc w:val="left"/>
                              <w:rPr>
                                <w:rFonts w:cs="Arial"/>
                                <w:color w:val="A6A6A6"/>
                                <w:sz w:val="14"/>
                                <w:szCs w:val="14"/>
                                <w:lang w:val="fr-FR"/>
                              </w:rPr>
                            </w:pPr>
                            <w:r w:rsidRPr="005D31F8">
                              <w:rPr>
                                <w:rFonts w:cs="Arial"/>
                                <w:color w:val="A6A6A6"/>
                                <w:sz w:val="14"/>
                                <w:szCs w:val="14"/>
                                <w:lang w:val="fr-FR"/>
                              </w:rPr>
                              <w:t>La Société est agréée en Irlande et réglementée par la Banque centrale d’Irlande. Les informations clés pour l’investisseur ici fourn</w:t>
                            </w:r>
                            <w:r>
                              <w:rPr>
                                <w:rFonts w:cs="Arial"/>
                                <w:color w:val="A6A6A6"/>
                                <w:sz w:val="14"/>
                                <w:szCs w:val="14"/>
                                <w:lang w:val="fr-FR"/>
                              </w:rPr>
                              <w:t xml:space="preserve">ies sont exactes et à jour au </w:t>
                            </w:r>
                            <w:r w:rsidR="00425149">
                              <w:rPr>
                                <w:rFonts w:cs="Arial"/>
                                <w:color w:val="A6A6A6"/>
                                <w:sz w:val="14"/>
                                <w:szCs w:val="14"/>
                                <w:lang w:val="fr-FR"/>
                              </w:rPr>
                              <w:t>8 août 2022.</w:t>
                            </w:r>
                          </w:p>
                          <w:p w14:paraId="18F5364D" w14:textId="77777777" w:rsidR="006A09E7" w:rsidRPr="00F1704F" w:rsidRDefault="006A09E7" w:rsidP="005D7254">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7" type="#_x0000_t202" style="position:absolute;margin-left:-17.25pt;margin-top:410.6pt;width:502.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" filled="f" fillcolor="#cce1da" stroked="f" strokecolor="#006747">
                <v:textbox>
                  <w:txbxContent>
                    <w:p w14:paraId="1230DC0D" w14:textId="63F18C51" w:rsidR="006A09E7" w:rsidRPr="005D31F8" w:rsidRDefault="006A09E7" w:rsidP="00425149">
                      <w:pPr>
                        <w:spacing w:line="200" w:lineRule="exact"/>
                        <w:jc w:val="left"/>
                        <w:rPr>
                          <w:rFonts w:cs="Arial"/>
                          <w:color w:val="A6A6A6"/>
                          <w:sz w:val="14"/>
                          <w:szCs w:val="14"/>
                          <w:lang w:val="fr-FR"/>
                        </w:rPr>
                      </w:pPr>
                      <w:r w:rsidRPr="005D31F8">
                        <w:rPr>
                          <w:rFonts w:cs="Arial"/>
                          <w:color w:val="A6A6A6"/>
                          <w:sz w:val="14"/>
                          <w:szCs w:val="14"/>
                          <w:lang w:val="fr-FR"/>
                        </w:rPr>
                        <w:t>La Société est agréée en Irlande et réglementée par la Banque centrale d’Irlande. Les informations clés pour l’investisseur ici fourn</w:t>
                      </w:r>
                      <w:r>
                        <w:rPr>
                          <w:rFonts w:cs="Arial"/>
                          <w:color w:val="A6A6A6"/>
                          <w:sz w:val="14"/>
                          <w:szCs w:val="14"/>
                          <w:lang w:val="fr-FR"/>
                        </w:rPr>
                        <w:t xml:space="preserve">ies sont exactes et à jour au </w:t>
                      </w:r>
                      <w:r w:rsidR="00425149">
                        <w:rPr>
                          <w:rFonts w:cs="Arial"/>
                          <w:color w:val="A6A6A6"/>
                          <w:sz w:val="14"/>
                          <w:szCs w:val="14"/>
                          <w:lang w:val="fr-FR"/>
                        </w:rPr>
                        <w:t>8 août 2022.</w:t>
                      </w:r>
                    </w:p>
                    <w:p w14:paraId="18F5364D" w14:textId="77777777" w:rsidR="006A09E7" w:rsidRPr="00F1704F" w:rsidRDefault="006A09E7" w:rsidP="005D7254">
                      <w:pPr>
                        <w:spacing w:line="200" w:lineRule="exact"/>
                        <w:jc w:val="left"/>
                        <w:rPr>
                          <w:rFonts w:cs="Arial"/>
                          <w:color w:val="A6A6A6"/>
                          <w:sz w:val="14"/>
                          <w:szCs w:val="14"/>
                        </w:rPr>
                      </w:pPr>
                    </w:p>
                  </w:txbxContent>
                </v:textbox>
              </v:shape>
            </w:pict>
          </mc:Fallback>
        </mc:AlternateContent>
      </w:r>
      <w:r w:rsidR="009F3545" w:rsidRPr="009F3545">
        <w:rPr>
          <w:noProof/>
          <w:lang w:val="de-DE" w:eastAsia="ja-JP"/>
        </w:rPr>
        <mc:AlternateContent>
          <mc:Choice Requires="wps">
            <w:drawing>
              <wp:anchor distT="45720" distB="45720" distL="114300" distR="114300" simplePos="0" relativeHeight="251732992" behindDoc="0" locked="0" layoutInCell="1" allowOverlap="1" wp14:anchorId="1009696B" wp14:editId="1E17617C">
                <wp:simplePos x="0" y="0"/>
                <wp:positionH relativeFrom="column">
                  <wp:posOffset>-542925</wp:posOffset>
                </wp:positionH>
                <wp:positionV relativeFrom="paragraph">
                  <wp:posOffset>1509395</wp:posOffset>
                </wp:positionV>
                <wp:extent cx="7010400" cy="466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66725"/>
                        </a:xfrm>
                        <a:prstGeom prst="rect">
                          <a:avLst/>
                        </a:prstGeom>
                        <a:noFill/>
                        <a:ln w="9525">
                          <a:noFill/>
                          <a:miter lim="800000"/>
                          <a:headEnd/>
                          <a:tailEnd/>
                        </a:ln>
                      </wps:spPr>
                      <wps:txbx>
                        <w:txbxContent>
                          <w:p w14:paraId="5C2CB543" w14:textId="043D01CC" w:rsidR="006A09E7" w:rsidRPr="00AF4D1A" w:rsidRDefault="006A09E7" w:rsidP="00C80B3F">
                            <w:pPr>
                              <w:pStyle w:val="KIIDtext1"/>
                              <w:spacing w:line="264" w:lineRule="auto"/>
                              <w:rPr>
                                <w:lang w:val="fr-FR"/>
                              </w:rPr>
                            </w:pPr>
                            <w:r w:rsidRPr="00AF4D1A">
                              <w:rPr>
                                <w:sz w:val="14"/>
                                <w:szCs w:val="14"/>
                                <w:lang w:val="fr-FR"/>
                              </w:rPr>
                              <w:t xml:space="preserve">Le pourcentage de la performance passée indiqué ci-dessus comprend </w:t>
                            </w:r>
                            <w:proofErr w:type="gramStart"/>
                            <w:r w:rsidRPr="00AF4D1A">
                              <w:rPr>
                                <w:sz w:val="14"/>
                                <w:szCs w:val="14"/>
                                <w:lang w:val="fr-FR"/>
                              </w:rPr>
                              <w:t>toutes les frais</w:t>
                            </w:r>
                            <w:proofErr w:type="gramEnd"/>
                            <w:r w:rsidRPr="00AF4D1A">
                              <w:rPr>
                                <w:sz w:val="14"/>
                                <w:szCs w:val="14"/>
                                <w:lang w:val="fr-FR"/>
                              </w:rPr>
                              <w:t xml:space="preserve"> de fonctionnement et de ge</w:t>
                            </w:r>
                            <w:r>
                              <w:rPr>
                                <w:sz w:val="14"/>
                                <w:szCs w:val="14"/>
                                <w:lang w:val="fr-FR"/>
                              </w:rPr>
                              <w:t xml:space="preserve">stion des Actions de Catégorie </w:t>
                            </w:r>
                            <w:r w:rsidR="001C2DDF">
                              <w:rPr>
                                <w:sz w:val="14"/>
                                <w:szCs w:val="14"/>
                                <w:lang w:val="fr-FR"/>
                              </w:rPr>
                              <w:t>F</w:t>
                            </w:r>
                            <w:r w:rsidRPr="00AF4D1A">
                              <w:rPr>
                                <w:sz w:val="14"/>
                                <w:szCs w:val="14"/>
                                <w:lang w:val="fr-FR"/>
                              </w:rPr>
                              <w:t xml:space="preserve"> du Fonds. La performance passée n’est pas nécessairement une indication de la performance future, les prix peuvent fluctuer et il est possible que vous ne puissiez pas récupérer votre investissement original.</w:t>
                            </w:r>
                            <w:r w:rsidRPr="00AF4D1A">
                              <w:rPr>
                                <w:rFonts w:ascii="ArialMT" w:eastAsiaTheme="minorHAnsi" w:hAnsi="ArialMT" w:cs="ArialMT"/>
                                <w:sz w:val="14"/>
                                <w:szCs w:val="14"/>
                                <w:lang w:val="fr-FR"/>
                              </w:rPr>
                              <w:t xml:space="preserve"> </w:t>
                            </w:r>
                            <w:r w:rsidRPr="007D01EC">
                              <w:rPr>
                                <w:rFonts w:ascii="ArialMT" w:eastAsiaTheme="minorHAnsi" w:hAnsi="ArialMT" w:cs="ArialMT"/>
                                <w:sz w:val="14"/>
                                <w:szCs w:val="14"/>
                                <w:lang w:val="fr-FR"/>
                              </w:rPr>
                              <w:t>Étant donné que</w:t>
                            </w:r>
                            <w:r>
                              <w:rPr>
                                <w:rFonts w:ascii="ArialMT" w:eastAsiaTheme="minorHAnsi" w:hAnsi="ArialMT" w:cs="ArialMT"/>
                                <w:sz w:val="14"/>
                                <w:szCs w:val="14"/>
                                <w:lang w:val="fr-FR"/>
                              </w:rPr>
                              <w:t xml:space="preserve"> ce F</w:t>
                            </w:r>
                            <w:r w:rsidRPr="00AF4D1A">
                              <w:rPr>
                                <w:rFonts w:ascii="ArialMT" w:eastAsiaTheme="minorHAnsi" w:hAnsi="ArialMT" w:cs="ArialMT"/>
                                <w:sz w:val="14"/>
                                <w:szCs w:val="14"/>
                                <w:lang w:val="fr-FR"/>
                              </w:rPr>
                              <w:t xml:space="preserve">onds est une entité réceptrice nouvellement établie issue de la fusion d'un </w:t>
                            </w:r>
                            <w:r>
                              <w:rPr>
                                <w:rFonts w:ascii="ArialMT" w:eastAsiaTheme="minorHAnsi" w:hAnsi="ArialMT" w:cs="ArialMT"/>
                                <w:sz w:val="14"/>
                                <w:szCs w:val="14"/>
                                <w:lang w:val="fr-FR"/>
                              </w:rPr>
                              <w:t>F</w:t>
                            </w:r>
                            <w:r w:rsidRPr="00AF4D1A">
                              <w:rPr>
                                <w:rFonts w:ascii="ArialMT" w:eastAsiaTheme="minorHAnsi" w:hAnsi="ArialMT" w:cs="ArialMT"/>
                                <w:sz w:val="14"/>
                                <w:szCs w:val="14"/>
                                <w:lang w:val="fr-FR"/>
                              </w:rPr>
                              <w:t xml:space="preserve">onds OPCVM précédent, les performances passées reflètent les performances du Chinook Global Convertible Fund, un </w:t>
                            </w:r>
                            <w:r>
                              <w:rPr>
                                <w:rFonts w:ascii="ArialMT" w:eastAsiaTheme="minorHAnsi" w:hAnsi="ArialMT" w:cs="ArialMT"/>
                                <w:sz w:val="14"/>
                                <w:szCs w:val="14"/>
                                <w:lang w:val="fr-FR"/>
                              </w:rPr>
                              <w:t>compartiment</w:t>
                            </w:r>
                            <w:r w:rsidRPr="00AF4D1A">
                              <w:rPr>
                                <w:rFonts w:ascii="ArialMT" w:eastAsiaTheme="minorHAnsi" w:hAnsi="ArialMT" w:cs="ArialMT"/>
                                <w:sz w:val="14"/>
                                <w:szCs w:val="14"/>
                                <w:lang w:val="fr-FR"/>
                              </w:rPr>
                              <w:t xml:space="preserve"> de Ferox Investments ICAV.</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9696B" id="_x0000_s1048" type="#_x0000_t202" style="position:absolute;margin-left:-42.75pt;margin-top:118.85pt;width:552pt;height:36.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" filled="f" stroked="f">
                <v:textbox inset="0,0,0,0">
                  <w:txbxContent>
                    <w:p w14:paraId="5C2CB543" w14:textId="043D01CC" w:rsidR="006A09E7" w:rsidRPr="00AF4D1A" w:rsidRDefault="006A09E7" w:rsidP="00C80B3F">
                      <w:pPr>
                        <w:pStyle w:val="KIIDtext1"/>
                        <w:spacing w:line="264" w:lineRule="auto"/>
                        <w:rPr>
                          <w:lang w:val="fr-FR"/>
                        </w:rPr>
                      </w:pPr>
                      <w:r w:rsidRPr="00AF4D1A">
                        <w:rPr>
                          <w:sz w:val="14"/>
                          <w:szCs w:val="14"/>
                          <w:lang w:val="fr-FR"/>
                        </w:rPr>
                        <w:t xml:space="preserve">Le pourcentage de la performance passée indiqué ci-dessus comprend </w:t>
                      </w:r>
                      <w:proofErr w:type="gramStart"/>
                      <w:r w:rsidRPr="00AF4D1A">
                        <w:rPr>
                          <w:sz w:val="14"/>
                          <w:szCs w:val="14"/>
                          <w:lang w:val="fr-FR"/>
                        </w:rPr>
                        <w:t>toutes les frais</w:t>
                      </w:r>
                      <w:proofErr w:type="gramEnd"/>
                      <w:r w:rsidRPr="00AF4D1A">
                        <w:rPr>
                          <w:sz w:val="14"/>
                          <w:szCs w:val="14"/>
                          <w:lang w:val="fr-FR"/>
                        </w:rPr>
                        <w:t xml:space="preserve"> de fonctionnement et de ge</w:t>
                      </w:r>
                      <w:r>
                        <w:rPr>
                          <w:sz w:val="14"/>
                          <w:szCs w:val="14"/>
                          <w:lang w:val="fr-FR"/>
                        </w:rPr>
                        <w:t xml:space="preserve">stion des Actions de Catégorie </w:t>
                      </w:r>
                      <w:r w:rsidR="001C2DDF">
                        <w:rPr>
                          <w:sz w:val="14"/>
                          <w:szCs w:val="14"/>
                          <w:lang w:val="fr-FR"/>
                        </w:rPr>
                        <w:t>F</w:t>
                      </w:r>
                      <w:r w:rsidRPr="00AF4D1A">
                        <w:rPr>
                          <w:sz w:val="14"/>
                          <w:szCs w:val="14"/>
                          <w:lang w:val="fr-FR"/>
                        </w:rPr>
                        <w:t xml:space="preserve"> du Fonds. La performance passée n’est pas nécessairement une indication de la performance future, les prix peuvent fluctuer et il est possible que vous ne puissiez pas récupérer votre investissement original.</w:t>
                      </w:r>
                      <w:r w:rsidRPr="00AF4D1A">
                        <w:rPr>
                          <w:rFonts w:ascii="ArialMT" w:eastAsiaTheme="minorHAnsi" w:hAnsi="ArialMT" w:cs="ArialMT"/>
                          <w:sz w:val="14"/>
                          <w:szCs w:val="14"/>
                          <w:lang w:val="fr-FR"/>
                        </w:rPr>
                        <w:t xml:space="preserve"> </w:t>
                      </w:r>
                      <w:r w:rsidRPr="007D01EC">
                        <w:rPr>
                          <w:rFonts w:ascii="ArialMT" w:eastAsiaTheme="minorHAnsi" w:hAnsi="ArialMT" w:cs="ArialMT"/>
                          <w:sz w:val="14"/>
                          <w:szCs w:val="14"/>
                          <w:lang w:val="fr-FR"/>
                        </w:rPr>
                        <w:t>Étant donné que</w:t>
                      </w:r>
                      <w:r>
                        <w:rPr>
                          <w:rFonts w:ascii="ArialMT" w:eastAsiaTheme="minorHAnsi" w:hAnsi="ArialMT" w:cs="ArialMT"/>
                          <w:sz w:val="14"/>
                          <w:szCs w:val="14"/>
                          <w:lang w:val="fr-FR"/>
                        </w:rPr>
                        <w:t xml:space="preserve"> ce F</w:t>
                      </w:r>
                      <w:r w:rsidRPr="00AF4D1A">
                        <w:rPr>
                          <w:rFonts w:ascii="ArialMT" w:eastAsiaTheme="minorHAnsi" w:hAnsi="ArialMT" w:cs="ArialMT"/>
                          <w:sz w:val="14"/>
                          <w:szCs w:val="14"/>
                          <w:lang w:val="fr-FR"/>
                        </w:rPr>
                        <w:t xml:space="preserve">onds est une entité réceptrice nouvellement établie issue de la fusion d'un </w:t>
                      </w:r>
                      <w:r>
                        <w:rPr>
                          <w:rFonts w:ascii="ArialMT" w:eastAsiaTheme="minorHAnsi" w:hAnsi="ArialMT" w:cs="ArialMT"/>
                          <w:sz w:val="14"/>
                          <w:szCs w:val="14"/>
                          <w:lang w:val="fr-FR"/>
                        </w:rPr>
                        <w:t>F</w:t>
                      </w:r>
                      <w:r w:rsidRPr="00AF4D1A">
                        <w:rPr>
                          <w:rFonts w:ascii="ArialMT" w:eastAsiaTheme="minorHAnsi" w:hAnsi="ArialMT" w:cs="ArialMT"/>
                          <w:sz w:val="14"/>
                          <w:szCs w:val="14"/>
                          <w:lang w:val="fr-FR"/>
                        </w:rPr>
                        <w:t xml:space="preserve">onds OPCVM précédent, les performances passées reflètent les performances du Chinook Global Convertible Fund, un </w:t>
                      </w:r>
                      <w:r>
                        <w:rPr>
                          <w:rFonts w:ascii="ArialMT" w:eastAsiaTheme="minorHAnsi" w:hAnsi="ArialMT" w:cs="ArialMT"/>
                          <w:sz w:val="14"/>
                          <w:szCs w:val="14"/>
                          <w:lang w:val="fr-FR"/>
                        </w:rPr>
                        <w:t>compartiment</w:t>
                      </w:r>
                      <w:r w:rsidRPr="00AF4D1A">
                        <w:rPr>
                          <w:rFonts w:ascii="ArialMT" w:eastAsiaTheme="minorHAnsi" w:hAnsi="ArialMT" w:cs="ArialMT"/>
                          <w:sz w:val="14"/>
                          <w:szCs w:val="14"/>
                          <w:lang w:val="fr-FR"/>
                        </w:rPr>
                        <w:t xml:space="preserve"> de Ferox Investments ICAV.</w:t>
                      </w:r>
                    </w:p>
                  </w:txbxContent>
                </v:textbox>
                <w10:wrap type="square"/>
              </v:shape>
            </w:pict>
          </mc:Fallback>
        </mc:AlternateContent>
      </w:r>
      <w:r w:rsidR="009F3545" w:rsidRPr="009F3545">
        <w:rPr>
          <w:noProof/>
          <w:color w:val="000000"/>
          <w:lang w:val="de-DE" w:eastAsia="ja-JP"/>
        </w:rPr>
        <mc:AlternateContent>
          <mc:Choice Requires="wps">
            <w:drawing>
              <wp:anchor distT="0" distB="0" distL="114300" distR="114300" simplePos="0" relativeHeight="251686912" behindDoc="0" locked="0" layoutInCell="1" allowOverlap="1" wp14:anchorId="1134C902" wp14:editId="51166F3C">
                <wp:simplePos x="0" y="0"/>
                <wp:positionH relativeFrom="margin">
                  <wp:posOffset>-414020</wp:posOffset>
                </wp:positionH>
                <wp:positionV relativeFrom="paragraph">
                  <wp:posOffset>2030095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B4B90" id="AutoShape 134" o:spid="_x0000_s1026" type="#_x0000_t32" style="position:absolute;margin-left:-32.6pt;margin-top:159.8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" strokecolor="#006747">
                <w10:wrap anchorx="margin"/>
              </v:shape>
            </w:pict>
          </mc:Fallback>
        </mc:AlternateContent>
      </w:r>
      <w:r w:rsidR="009F3545" w:rsidRPr="009F3545">
        <w:rPr>
          <w:noProof/>
          <w:lang w:val="de-DE" w:eastAsia="ja-JP"/>
        </w:rPr>
        <mc:AlternateContent>
          <mc:Choice Requires="wps">
            <w:drawing>
              <wp:anchor distT="0" distB="0" distL="114300" distR="114300" simplePos="0" relativeHeight="251688960" behindDoc="0" locked="0" layoutInCell="1" allowOverlap="1" wp14:anchorId="05C78577" wp14:editId="1789D9FD">
                <wp:simplePos x="0" y="0"/>
                <wp:positionH relativeFrom="column">
                  <wp:posOffset>-468630</wp:posOffset>
                </wp:positionH>
                <wp:positionV relativeFrom="paragraph">
                  <wp:posOffset>2109470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2F09739E" w:rsidR="006A09E7" w:rsidRPr="006F31C1" w:rsidRDefault="006A09E7" w:rsidP="00CB0F6B">
                            <w:pPr>
                              <w:shd w:val="clear" w:color="auto" w:fill="FFFFFF"/>
                              <w:tabs>
                                <w:tab w:val="left" w:pos="163"/>
                              </w:tabs>
                              <w:autoSpaceDE w:val="0"/>
                              <w:autoSpaceDN w:val="0"/>
                              <w:adjustRightInd w:val="0"/>
                              <w:spacing w:line="240" w:lineRule="auto"/>
                              <w:rPr>
                                <w:rFonts w:cs="Arial"/>
                                <w:color w:val="5F5F5F"/>
                                <w:sz w:val="18"/>
                                <w:szCs w:val="18"/>
                              </w:rPr>
                            </w:pPr>
                            <w:r w:rsidRPr="005D5A1B">
                              <w:rPr>
                                <w:rFonts w:eastAsia="Calibri" w:cs="Arial"/>
                                <w:b/>
                                <w:bCs/>
                                <w:caps/>
                                <w:color w:val="006747"/>
                                <w:spacing w:val="7"/>
                                <w:sz w:val="21"/>
                                <w:szCs w:val="22"/>
                                <w:lang w:val="en-GB"/>
                              </w:rPr>
                              <w:t>INFORMATIONS PRATIQUES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8" type="#_x0000_t202" style="position:absolute;margin-left:-36.9pt;margin-top:166.1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ufhg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" stroked="f">
                <v:textbox>
                  <w:txbxContent>
                    <w:p w14:paraId="7A7D7D0E" w14:textId="2F09739E" w:rsidR="006A09E7" w:rsidRPr="006F31C1" w:rsidRDefault="006A09E7" w:rsidP="00CB0F6B">
                      <w:pPr>
                        <w:shd w:val="clear" w:color="auto" w:fill="FFFFFF"/>
                        <w:tabs>
                          <w:tab w:val="left" w:pos="163"/>
                        </w:tabs>
                        <w:autoSpaceDE w:val="0"/>
                        <w:autoSpaceDN w:val="0"/>
                        <w:adjustRightInd w:val="0"/>
                        <w:spacing w:line="240" w:lineRule="auto"/>
                        <w:rPr>
                          <w:rFonts w:cs="Arial"/>
                          <w:color w:val="5F5F5F"/>
                          <w:sz w:val="18"/>
                          <w:szCs w:val="18"/>
                        </w:rPr>
                      </w:pPr>
                      <w:r w:rsidRPr="005D5A1B">
                        <w:rPr>
                          <w:rFonts w:eastAsia="Calibri" w:cs="Arial"/>
                          <w:b/>
                          <w:bCs/>
                          <w:caps/>
                          <w:color w:val="006747"/>
                          <w:spacing w:val="7"/>
                          <w:sz w:val="21"/>
                          <w:szCs w:val="22"/>
                          <w:lang w:val="en-GB"/>
                        </w:rPr>
                        <w:t>INFORMATIONS PRATIQUES</w:t>
                      </w:r>
                    </w:p>
                  </w:txbxContent>
                </v:textbox>
              </v:shape>
            </w:pict>
          </mc:Fallback>
        </mc:AlternateContent>
      </w:r>
      <w:r w:rsidR="009F3545" w:rsidRPr="009F3545">
        <w:rPr>
          <w:noProof/>
          <w:lang w:val="de-DE" w:eastAsia="ja-JP"/>
        </w:rPr>
        <mc:AlternateContent>
          <mc:Choice Requires="wps">
            <w:drawing>
              <wp:anchor distT="0" distB="0" distL="114300" distR="114300" simplePos="0" relativeHeight="251724800" behindDoc="0" locked="0" layoutInCell="1" allowOverlap="1" wp14:anchorId="530073CA" wp14:editId="1F0A0B28">
                <wp:simplePos x="0" y="0"/>
                <wp:positionH relativeFrom="column">
                  <wp:posOffset>-495300</wp:posOffset>
                </wp:positionH>
                <wp:positionV relativeFrom="paragraph">
                  <wp:posOffset>2414270</wp:posOffset>
                </wp:positionV>
                <wp:extent cx="3359150" cy="27051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70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AED5D" w14:textId="7A47A7D4" w:rsidR="006A09E7" w:rsidRPr="009B78FC" w:rsidRDefault="006A09E7" w:rsidP="00AF4D1A">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r w:rsidRPr="00C80B3F">
                              <w:rPr>
                                <w:rFonts w:cs="Arial"/>
                                <w:sz w:val="17"/>
                                <w:szCs w:val="17"/>
                                <w:lang w:val="fr-FR"/>
                              </w:rPr>
                              <w:t>https://www.cqs.com/documents/regulatory-disclosures/cqs_ucits_remuneration_policy.pdf</w:t>
                            </w:r>
                            <w:r w:rsidRPr="009B78FC">
                              <w:rPr>
                                <w:rFonts w:cs="Arial"/>
                                <w:sz w:val="17"/>
                                <w:szCs w:val="17"/>
                                <w:lang w:val="fr-FR"/>
                              </w:rPr>
                              <w:t xml:space="preserve"> </w:t>
                            </w:r>
                          </w:p>
                          <w:p w14:paraId="0FEDAD1D" w14:textId="77777777" w:rsidR="006A09E7" w:rsidRPr="009B78FC" w:rsidRDefault="006A09E7" w:rsidP="00AF4D1A">
                            <w:pPr>
                              <w:pStyle w:val="KIIDbullet1"/>
                              <w:spacing w:line="252" w:lineRule="auto"/>
                              <w:ind w:left="284" w:hanging="244"/>
                              <w:rPr>
                                <w:rFonts w:cs="Arial"/>
                                <w:sz w:val="17"/>
                                <w:szCs w:val="17"/>
                                <w:lang w:val="fr-FR"/>
                              </w:rPr>
                            </w:pPr>
                            <w:r w:rsidRPr="009B78FC">
                              <w:rPr>
                                <w:rFonts w:cs="Arial"/>
                                <w:sz w:val="17"/>
                                <w:szCs w:val="17"/>
                                <w:lang w:val="fr-FR"/>
                              </w:rPr>
                              <w:t>Des informations détaillées concernant la politique de rémunération du Gestionnaire sont disponibles sur www.kbassociates.ie. Une version papier de la politique de rémunération sera disponible sans frais et sur demande.</w:t>
                            </w:r>
                          </w:p>
                          <w:p w14:paraId="1F7EC605" w14:textId="6B743484" w:rsidR="006A09E7" w:rsidRPr="009B78FC" w:rsidRDefault="006A09E7" w:rsidP="00AF4D1A">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25AA1503" w14:textId="779C6218" w:rsidR="006A09E7" w:rsidRPr="009B78FC" w:rsidRDefault="006A09E7" w:rsidP="00AF4D1A">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425149">
                              <w:rPr>
                                <w:sz w:val="17"/>
                                <w:lang w:val="fr-FR"/>
                              </w:rPr>
                              <w:t>.</w:t>
                            </w:r>
                          </w:p>
                          <w:p w14:paraId="7F563747" w14:textId="4A748032" w:rsidR="006A09E7" w:rsidRPr="009B78FC" w:rsidRDefault="006A09E7" w:rsidP="00AF4D1A">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A44F76F" w14:textId="77777777" w:rsidR="006A09E7" w:rsidRPr="005C41BF" w:rsidRDefault="006A09E7" w:rsidP="00AF4D1A">
                            <w:pPr>
                              <w:pStyle w:val="KIIDbullet1"/>
                              <w:numPr>
                                <w:ilvl w:val="0"/>
                                <w:numId w:val="0"/>
                              </w:numPr>
                              <w:spacing w:after="80" w:line="240" w:lineRule="auto"/>
                              <w:rPr>
                                <w:rFonts w:cs="Arial"/>
                                <w:bCs/>
                                <w:sz w:val="16"/>
                                <w:szCs w:val="1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073CA" id="_x0000_s1050" type="#_x0000_t202" style="position:absolute;margin-left:-39pt;margin-top:190.1pt;width:264.5pt;height:2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" stroked="f">
                <v:textbox>
                  <w:txbxContent>
                    <w:p w14:paraId="73EAED5D" w14:textId="7A47A7D4" w:rsidR="006A09E7" w:rsidRPr="009B78FC" w:rsidRDefault="006A09E7" w:rsidP="00AF4D1A">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r w:rsidRPr="00C80B3F">
                        <w:rPr>
                          <w:rFonts w:cs="Arial"/>
                          <w:sz w:val="17"/>
                          <w:szCs w:val="17"/>
                          <w:lang w:val="fr-FR"/>
                        </w:rPr>
                        <w:t>https://www.cqs.com/documents/regulatory-disclosures/cqs_ucits_remuneration_policy.pdf</w:t>
                      </w:r>
                      <w:r w:rsidRPr="009B78FC">
                        <w:rPr>
                          <w:rFonts w:cs="Arial"/>
                          <w:sz w:val="17"/>
                          <w:szCs w:val="17"/>
                          <w:lang w:val="fr-FR"/>
                        </w:rPr>
                        <w:t xml:space="preserve"> </w:t>
                      </w:r>
                    </w:p>
                    <w:p w14:paraId="0FEDAD1D" w14:textId="77777777" w:rsidR="006A09E7" w:rsidRPr="009B78FC" w:rsidRDefault="006A09E7" w:rsidP="00AF4D1A">
                      <w:pPr>
                        <w:pStyle w:val="KIIDbullet1"/>
                        <w:spacing w:line="252" w:lineRule="auto"/>
                        <w:ind w:left="284" w:hanging="244"/>
                        <w:rPr>
                          <w:rFonts w:cs="Arial"/>
                          <w:sz w:val="17"/>
                          <w:szCs w:val="17"/>
                          <w:lang w:val="fr-FR"/>
                        </w:rPr>
                      </w:pPr>
                      <w:r w:rsidRPr="009B78FC">
                        <w:rPr>
                          <w:rFonts w:cs="Arial"/>
                          <w:sz w:val="17"/>
                          <w:szCs w:val="17"/>
                          <w:lang w:val="fr-FR"/>
                        </w:rPr>
                        <w:t>Des informations détaillées concernant la politique de rémunération du Gestionnaire sont disponibles sur www.kbassociates.ie. Une version papier de la politique de rémunération sera disponible sans frais et sur demande.</w:t>
                      </w:r>
                    </w:p>
                    <w:p w14:paraId="1F7EC605" w14:textId="6B743484" w:rsidR="006A09E7" w:rsidRPr="009B78FC" w:rsidRDefault="006A09E7" w:rsidP="00AF4D1A">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25AA1503" w14:textId="779C6218" w:rsidR="006A09E7" w:rsidRPr="009B78FC" w:rsidRDefault="006A09E7" w:rsidP="00AF4D1A">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425149">
                        <w:rPr>
                          <w:sz w:val="17"/>
                          <w:lang w:val="fr-FR"/>
                        </w:rPr>
                        <w:t>.</w:t>
                      </w:r>
                    </w:p>
                    <w:p w14:paraId="7F563747" w14:textId="4A748032" w:rsidR="006A09E7" w:rsidRPr="009B78FC" w:rsidRDefault="006A09E7" w:rsidP="00AF4D1A">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A44F76F" w14:textId="77777777" w:rsidR="006A09E7" w:rsidRPr="005C41BF" w:rsidRDefault="006A09E7" w:rsidP="00AF4D1A">
                      <w:pPr>
                        <w:pStyle w:val="KIIDbullet1"/>
                        <w:numPr>
                          <w:ilvl w:val="0"/>
                          <w:numId w:val="0"/>
                        </w:numPr>
                        <w:spacing w:after="80" w:line="240" w:lineRule="auto"/>
                        <w:rPr>
                          <w:rFonts w:cs="Arial"/>
                          <w:bCs/>
                          <w:sz w:val="16"/>
                          <w:szCs w:val="16"/>
                          <w:lang w:val="en-GB"/>
                        </w:rPr>
                      </w:pPr>
                    </w:p>
                  </w:txbxContent>
                </v:textbox>
              </v:shape>
            </w:pict>
          </mc:Fallback>
        </mc:AlternateContent>
      </w:r>
      <w:r w:rsidR="009F3545" w:rsidRPr="009F3545">
        <w:rPr>
          <w:noProof/>
          <w:lang w:val="de-DE" w:eastAsia="ja-JP"/>
        </w:rPr>
        <mc:AlternateContent>
          <mc:Choice Requires="wps">
            <w:drawing>
              <wp:anchor distT="0" distB="0" distL="114300" distR="114300" simplePos="0" relativeHeight="251726848" behindDoc="0" locked="0" layoutInCell="1" allowOverlap="1" wp14:anchorId="2D6DE33E" wp14:editId="1381E751">
                <wp:simplePos x="0" y="0"/>
                <wp:positionH relativeFrom="column">
                  <wp:posOffset>2952750</wp:posOffset>
                </wp:positionH>
                <wp:positionV relativeFrom="paragraph">
                  <wp:posOffset>2357120</wp:posOffset>
                </wp:positionV>
                <wp:extent cx="3275965" cy="2847975"/>
                <wp:effectExtent l="0" t="0" r="635" b="95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4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D8FF3" w14:textId="0A99EC2E" w:rsidR="006A09E7" w:rsidRPr="009B78FC" w:rsidRDefault="006A09E7" w:rsidP="009B78FC">
                            <w:pPr>
                              <w:pStyle w:val="KIIDbullet1"/>
                              <w:numPr>
                                <w:ilvl w:val="0"/>
                                <w:numId w:val="9"/>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0480F7B" w14:textId="7CC58449" w:rsidR="006A09E7" w:rsidRPr="009B78FC" w:rsidRDefault="006A09E7" w:rsidP="009B78FC">
                            <w:pPr>
                              <w:pStyle w:val="KIIDbullet1"/>
                              <w:numPr>
                                <w:ilvl w:val="0"/>
                                <w:numId w:val="9"/>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B1897B0" w14:textId="77777777" w:rsidR="006A09E7" w:rsidRPr="009B78FC" w:rsidRDefault="006A09E7" w:rsidP="009B78FC">
                            <w:pPr>
                              <w:pStyle w:val="KIIDbullet1"/>
                              <w:numPr>
                                <w:ilvl w:val="0"/>
                                <w:numId w:val="9"/>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2E64C946" w14:textId="459E7DCF" w:rsidR="006A09E7" w:rsidRPr="009B78FC" w:rsidRDefault="006A09E7" w:rsidP="009B78FC">
                            <w:pPr>
                              <w:pStyle w:val="KIIDbullet1"/>
                              <w:numPr>
                                <w:ilvl w:val="0"/>
                                <w:numId w:val="9"/>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sidRPr="009B78FC">
                              <w:rPr>
                                <w:rFonts w:cs="Arial"/>
                                <w:bCs/>
                                <w:sz w:val="17"/>
                                <w:szCs w:val="17"/>
                                <w:lang w:val="fr-FR"/>
                              </w:rPr>
                              <w:t xml:space="preserve">. </w:t>
                            </w:r>
                          </w:p>
                          <w:p w14:paraId="11C4C246" w14:textId="77777777" w:rsidR="006A09E7" w:rsidRPr="005C41BF" w:rsidRDefault="006A09E7" w:rsidP="002550DA">
                            <w:pPr>
                              <w:pStyle w:val="KIIDbullet1"/>
                              <w:numPr>
                                <w:ilvl w:val="0"/>
                                <w:numId w:val="0"/>
                              </w:numPr>
                              <w:rPr>
                                <w:rFonts w:ascii="Arial" w:hAnsi="Arial" w:cs="Arial"/>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DE33E" id="_x0000_s1051" type="#_x0000_t202" style="position:absolute;margin-left:232.5pt;margin-top:185.6pt;width:257.95pt;height:22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q9iQIAABk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" stroked="f">
                <v:textbox>
                  <w:txbxContent>
                    <w:p w14:paraId="11BD8FF3" w14:textId="0A99EC2E" w:rsidR="006A09E7" w:rsidRPr="009B78FC" w:rsidRDefault="006A09E7" w:rsidP="009B78FC">
                      <w:pPr>
                        <w:pStyle w:val="KIIDbullet1"/>
                        <w:numPr>
                          <w:ilvl w:val="0"/>
                          <w:numId w:val="9"/>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0480F7B" w14:textId="7CC58449" w:rsidR="006A09E7" w:rsidRPr="009B78FC" w:rsidRDefault="006A09E7" w:rsidP="009B78FC">
                      <w:pPr>
                        <w:pStyle w:val="KIIDbullet1"/>
                        <w:numPr>
                          <w:ilvl w:val="0"/>
                          <w:numId w:val="9"/>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B1897B0" w14:textId="77777777" w:rsidR="006A09E7" w:rsidRPr="009B78FC" w:rsidRDefault="006A09E7" w:rsidP="009B78FC">
                      <w:pPr>
                        <w:pStyle w:val="KIIDbullet1"/>
                        <w:numPr>
                          <w:ilvl w:val="0"/>
                          <w:numId w:val="9"/>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2E64C946" w14:textId="459E7DCF" w:rsidR="006A09E7" w:rsidRPr="009B78FC" w:rsidRDefault="006A09E7" w:rsidP="009B78FC">
                      <w:pPr>
                        <w:pStyle w:val="KIIDbullet1"/>
                        <w:numPr>
                          <w:ilvl w:val="0"/>
                          <w:numId w:val="9"/>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sidRPr="009B78FC">
                        <w:rPr>
                          <w:rFonts w:cs="Arial"/>
                          <w:bCs/>
                          <w:sz w:val="17"/>
                          <w:szCs w:val="17"/>
                          <w:lang w:val="fr-FR"/>
                        </w:rPr>
                        <w:t xml:space="preserve">. </w:t>
                      </w:r>
                    </w:p>
                    <w:p w14:paraId="11C4C246" w14:textId="77777777" w:rsidR="006A09E7" w:rsidRPr="005C41BF" w:rsidRDefault="006A09E7" w:rsidP="002550DA">
                      <w:pPr>
                        <w:pStyle w:val="KIIDbullet1"/>
                        <w:numPr>
                          <w:ilvl w:val="0"/>
                          <w:numId w:val="0"/>
                        </w:numPr>
                        <w:rPr>
                          <w:rFonts w:ascii="Arial" w:hAnsi="Arial" w:cs="Arial"/>
                          <w:sz w:val="16"/>
                          <w:szCs w:val="16"/>
                          <w:lang w:val="en-US"/>
                        </w:rPr>
                      </w:pPr>
                    </w:p>
                  </w:txbxContent>
                </v:textbox>
              </v:shape>
            </w:pict>
          </mc:Fallback>
        </mc:AlternateContent>
      </w:r>
    </w:p>
    <w:sectPr w:rsidR="00B12448" w:rsidRPr="009F3545" w:rsidSect="00283C51">
      <w:footerReference w:type="default" r:id="rId13"/>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868F" w14:textId="77777777" w:rsidR="006A09E7" w:rsidRDefault="006A09E7" w:rsidP="005B6E23">
      <w:pPr>
        <w:spacing w:line="240" w:lineRule="auto"/>
      </w:pPr>
      <w:r>
        <w:separator/>
      </w:r>
    </w:p>
  </w:endnote>
  <w:endnote w:type="continuationSeparator" w:id="0">
    <w:p w14:paraId="26D10B96" w14:textId="77777777" w:rsidR="006A09E7" w:rsidRDefault="006A09E7"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11F609F" w:rsidR="006A09E7" w:rsidRDefault="006A09E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B6C89">
      <w:rPr>
        <w:caps/>
        <w:noProof/>
        <w:color w:val="5B9BD5" w:themeColor="accent1"/>
      </w:rPr>
      <w:t>1</w:t>
    </w:r>
    <w:r>
      <w:rPr>
        <w:caps/>
        <w:noProof/>
        <w:color w:val="5B9BD5" w:themeColor="accent1"/>
      </w:rPr>
      <w:fldChar w:fldCharType="end"/>
    </w:r>
  </w:p>
  <w:p w14:paraId="549331D9" w14:textId="77777777" w:rsidR="006A09E7" w:rsidRDefault="006A0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8580" w14:textId="77777777" w:rsidR="006A09E7" w:rsidRDefault="006A09E7" w:rsidP="005B6E23">
      <w:pPr>
        <w:spacing w:line="240" w:lineRule="auto"/>
      </w:pPr>
      <w:r>
        <w:separator/>
      </w:r>
    </w:p>
  </w:footnote>
  <w:footnote w:type="continuationSeparator" w:id="0">
    <w:p w14:paraId="10DD8D91" w14:textId="77777777" w:rsidR="006A09E7" w:rsidRDefault="006A09E7"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E15C1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760337">
    <w:abstractNumId w:val="6"/>
  </w:num>
  <w:num w:numId="2" w16cid:durableId="2098282830">
    <w:abstractNumId w:val="7"/>
  </w:num>
  <w:num w:numId="3" w16cid:durableId="843473493">
    <w:abstractNumId w:val="2"/>
  </w:num>
  <w:num w:numId="4" w16cid:durableId="1041900565">
    <w:abstractNumId w:val="7"/>
  </w:num>
  <w:num w:numId="5" w16cid:durableId="1684625396">
    <w:abstractNumId w:val="0"/>
  </w:num>
  <w:num w:numId="6" w16cid:durableId="1695644465">
    <w:abstractNumId w:val="4"/>
  </w:num>
  <w:num w:numId="7" w16cid:durableId="1978756941">
    <w:abstractNumId w:val="3"/>
  </w:num>
  <w:num w:numId="8" w16cid:durableId="373429962">
    <w:abstractNumId w:val="5"/>
  </w:num>
  <w:num w:numId="9" w16cid:durableId="563561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303E2"/>
    <w:rsid w:val="00030BF2"/>
    <w:rsid w:val="000503E0"/>
    <w:rsid w:val="000678F6"/>
    <w:rsid w:val="001066C8"/>
    <w:rsid w:val="001266C0"/>
    <w:rsid w:val="00130536"/>
    <w:rsid w:val="00141CEE"/>
    <w:rsid w:val="00166B27"/>
    <w:rsid w:val="001B2421"/>
    <w:rsid w:val="001B52DF"/>
    <w:rsid w:val="001B7A69"/>
    <w:rsid w:val="001C2DDF"/>
    <w:rsid w:val="001D4D66"/>
    <w:rsid w:val="001E2C18"/>
    <w:rsid w:val="00214230"/>
    <w:rsid w:val="00216272"/>
    <w:rsid w:val="00227808"/>
    <w:rsid w:val="002550DA"/>
    <w:rsid w:val="00260AA8"/>
    <w:rsid w:val="00265CEA"/>
    <w:rsid w:val="00271096"/>
    <w:rsid w:val="00283C51"/>
    <w:rsid w:val="00296F3B"/>
    <w:rsid w:val="002A54CA"/>
    <w:rsid w:val="002C6136"/>
    <w:rsid w:val="002E165D"/>
    <w:rsid w:val="00300A8E"/>
    <w:rsid w:val="003076FC"/>
    <w:rsid w:val="00312885"/>
    <w:rsid w:val="00315544"/>
    <w:rsid w:val="003206E5"/>
    <w:rsid w:val="003B5264"/>
    <w:rsid w:val="003C13AA"/>
    <w:rsid w:val="003C656B"/>
    <w:rsid w:val="003D176A"/>
    <w:rsid w:val="003D3835"/>
    <w:rsid w:val="003E383B"/>
    <w:rsid w:val="003E6915"/>
    <w:rsid w:val="003F32FB"/>
    <w:rsid w:val="003F4AED"/>
    <w:rsid w:val="00406B3B"/>
    <w:rsid w:val="00411B7D"/>
    <w:rsid w:val="00425149"/>
    <w:rsid w:val="00470786"/>
    <w:rsid w:val="00471F92"/>
    <w:rsid w:val="00491D9D"/>
    <w:rsid w:val="00492098"/>
    <w:rsid w:val="004B1DEE"/>
    <w:rsid w:val="004B4CA5"/>
    <w:rsid w:val="004C293F"/>
    <w:rsid w:val="004D00E8"/>
    <w:rsid w:val="004D0E5A"/>
    <w:rsid w:val="004F53A0"/>
    <w:rsid w:val="0051515F"/>
    <w:rsid w:val="0052429D"/>
    <w:rsid w:val="00542664"/>
    <w:rsid w:val="00546DEE"/>
    <w:rsid w:val="00547654"/>
    <w:rsid w:val="005542CF"/>
    <w:rsid w:val="00560FFD"/>
    <w:rsid w:val="00591101"/>
    <w:rsid w:val="00593C65"/>
    <w:rsid w:val="005B6C89"/>
    <w:rsid w:val="005B6E23"/>
    <w:rsid w:val="005C41BF"/>
    <w:rsid w:val="005D5A1B"/>
    <w:rsid w:val="005D7254"/>
    <w:rsid w:val="005E68A9"/>
    <w:rsid w:val="00601A22"/>
    <w:rsid w:val="00640C8F"/>
    <w:rsid w:val="00650319"/>
    <w:rsid w:val="00673FA0"/>
    <w:rsid w:val="006A09E7"/>
    <w:rsid w:val="006C4396"/>
    <w:rsid w:val="006D12C9"/>
    <w:rsid w:val="007075CA"/>
    <w:rsid w:val="00707D3D"/>
    <w:rsid w:val="00731E65"/>
    <w:rsid w:val="00745DF9"/>
    <w:rsid w:val="00767287"/>
    <w:rsid w:val="0078402C"/>
    <w:rsid w:val="00794E58"/>
    <w:rsid w:val="007C11D5"/>
    <w:rsid w:val="007C7A66"/>
    <w:rsid w:val="007D01EC"/>
    <w:rsid w:val="007E0AFC"/>
    <w:rsid w:val="00824906"/>
    <w:rsid w:val="008276FC"/>
    <w:rsid w:val="00831F5E"/>
    <w:rsid w:val="008674D2"/>
    <w:rsid w:val="008B7BE0"/>
    <w:rsid w:val="008C0CA5"/>
    <w:rsid w:val="008D708E"/>
    <w:rsid w:val="009076E5"/>
    <w:rsid w:val="009354CE"/>
    <w:rsid w:val="0094158C"/>
    <w:rsid w:val="009572C4"/>
    <w:rsid w:val="00970F25"/>
    <w:rsid w:val="0098667B"/>
    <w:rsid w:val="00991A1D"/>
    <w:rsid w:val="009B78FC"/>
    <w:rsid w:val="009C651E"/>
    <w:rsid w:val="009E0691"/>
    <w:rsid w:val="009F3545"/>
    <w:rsid w:val="00A06BCD"/>
    <w:rsid w:val="00A32750"/>
    <w:rsid w:val="00A3375D"/>
    <w:rsid w:val="00A35678"/>
    <w:rsid w:val="00A56C35"/>
    <w:rsid w:val="00A66366"/>
    <w:rsid w:val="00A75170"/>
    <w:rsid w:val="00A84C64"/>
    <w:rsid w:val="00A91ADD"/>
    <w:rsid w:val="00A942E5"/>
    <w:rsid w:val="00AB32D7"/>
    <w:rsid w:val="00AC31CC"/>
    <w:rsid w:val="00AD5824"/>
    <w:rsid w:val="00AE1C4D"/>
    <w:rsid w:val="00AE3529"/>
    <w:rsid w:val="00AF4D1A"/>
    <w:rsid w:val="00B12448"/>
    <w:rsid w:val="00B66664"/>
    <w:rsid w:val="00B717CD"/>
    <w:rsid w:val="00B74D10"/>
    <w:rsid w:val="00B83E48"/>
    <w:rsid w:val="00B92CCF"/>
    <w:rsid w:val="00BB1A9D"/>
    <w:rsid w:val="00BB6FCC"/>
    <w:rsid w:val="00BD0715"/>
    <w:rsid w:val="00BD2490"/>
    <w:rsid w:val="00BE17A6"/>
    <w:rsid w:val="00C140FB"/>
    <w:rsid w:val="00C2285A"/>
    <w:rsid w:val="00C320A0"/>
    <w:rsid w:val="00C335ED"/>
    <w:rsid w:val="00C80B3F"/>
    <w:rsid w:val="00CA5621"/>
    <w:rsid w:val="00CA564D"/>
    <w:rsid w:val="00CB0F6B"/>
    <w:rsid w:val="00CB6720"/>
    <w:rsid w:val="00CD42A5"/>
    <w:rsid w:val="00CE50DE"/>
    <w:rsid w:val="00D1761C"/>
    <w:rsid w:val="00D259C7"/>
    <w:rsid w:val="00D7328B"/>
    <w:rsid w:val="00D74BD7"/>
    <w:rsid w:val="00D80973"/>
    <w:rsid w:val="00D95578"/>
    <w:rsid w:val="00D96289"/>
    <w:rsid w:val="00DC13F2"/>
    <w:rsid w:val="00DC2CE9"/>
    <w:rsid w:val="00DD58F1"/>
    <w:rsid w:val="00DF3E5A"/>
    <w:rsid w:val="00DF6DB3"/>
    <w:rsid w:val="00E01022"/>
    <w:rsid w:val="00E039AE"/>
    <w:rsid w:val="00E03BFA"/>
    <w:rsid w:val="00E42CAA"/>
    <w:rsid w:val="00E46B21"/>
    <w:rsid w:val="00E5444F"/>
    <w:rsid w:val="00E7589F"/>
    <w:rsid w:val="00E759CC"/>
    <w:rsid w:val="00EB6EEB"/>
    <w:rsid w:val="00EC7D6F"/>
    <w:rsid w:val="00F000DE"/>
    <w:rsid w:val="00F01830"/>
    <w:rsid w:val="00F631E3"/>
    <w:rsid w:val="00F6650B"/>
    <w:rsid w:val="00F67ACC"/>
    <w:rsid w:val="00F77F68"/>
    <w:rsid w:val="00FB0C87"/>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170"/>
    <w:rPr>
      <w:sz w:val="16"/>
      <w:szCs w:val="16"/>
    </w:rPr>
  </w:style>
  <w:style w:type="paragraph" w:styleId="CommentText">
    <w:name w:val="annotation text"/>
    <w:basedOn w:val="Normal"/>
    <w:link w:val="CommentTextChar"/>
    <w:uiPriority w:val="99"/>
    <w:semiHidden/>
    <w:unhideWhenUsed/>
    <w:rsid w:val="00A75170"/>
    <w:pPr>
      <w:spacing w:line="240" w:lineRule="auto"/>
    </w:pPr>
  </w:style>
  <w:style w:type="character" w:customStyle="1" w:styleId="CommentTextChar">
    <w:name w:val="Comment Text Char"/>
    <w:basedOn w:val="DefaultParagraphFont"/>
    <w:link w:val="CommentText"/>
    <w:uiPriority w:val="99"/>
    <w:semiHidden/>
    <w:rsid w:val="00A75170"/>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A75170"/>
    <w:rPr>
      <w:b/>
      <w:bCs/>
    </w:rPr>
  </w:style>
  <w:style w:type="character" w:customStyle="1" w:styleId="CommentSubjectChar">
    <w:name w:val="Comment Subject Char"/>
    <w:basedOn w:val="CommentTextChar"/>
    <w:link w:val="CommentSubject"/>
    <w:uiPriority w:val="99"/>
    <w:semiHidden/>
    <w:rsid w:val="00A75170"/>
    <w:rPr>
      <w:rFonts w:ascii="Arial" w:eastAsia="Times New Roman" w:hAnsi="Arial" w:cs="Times New Roman"/>
      <w:b/>
      <w:bCs/>
      <w:sz w:val="20"/>
      <w:szCs w:val="20"/>
      <w:lang w:val="en-IE"/>
    </w:rPr>
  </w:style>
  <w:style w:type="paragraph" w:customStyle="1" w:styleId="TableLeft">
    <w:name w:val="Table Left"/>
    <w:qFormat/>
    <w:rsid w:val="001D4D66"/>
    <w:pPr>
      <w:spacing w:before="20" w:after="60" w:line="240" w:lineRule="auto"/>
    </w:pPr>
    <w:rPr>
      <w:color w:val="000000" w:themeColor="text1"/>
      <w:sz w:val="16"/>
      <w:lang w:val="fr-FR"/>
    </w:rPr>
  </w:style>
  <w:style w:type="character" w:styleId="Strong">
    <w:name w:val="Strong"/>
    <w:basedOn w:val="DefaultParagraphFont"/>
    <w:uiPriority w:val="8"/>
    <w:qFormat/>
    <w:rsid w:val="001D4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AA917-84AE-4BE4-B1BA-49B00B4B1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CDCD9-B449-4357-B45A-74692CAFFA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CE40B9-39F0-4C82-A5B0-AECAB83909D0}">
  <ds:schemaRefs>
    <ds:schemaRef ds:uri="http://schemas.openxmlformats.org/officeDocument/2006/bibliography"/>
  </ds:schemaRefs>
</ds:datastoreItem>
</file>

<file path=customXml/itemProps4.xml><?xml version="1.0" encoding="utf-8"?>
<ds:datastoreItem xmlns:ds="http://schemas.openxmlformats.org/officeDocument/2006/customXml" ds:itemID="{E7A13EA2-BF6B-4139-B0FA-DDBDB5962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2</cp:revision>
  <cp:lastPrinted>2022-03-14T12:16:00Z</cp:lastPrinted>
  <dcterms:created xsi:type="dcterms:W3CDTF">2022-09-23T14:48:00Z</dcterms:created>
  <dcterms:modified xsi:type="dcterms:W3CDTF">2022-09-23T14:48:00Z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